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A41" w:rsidRDefault="00A92A41" w:rsidP="00A92A41">
      <w:pPr>
        <w:pBdr>
          <w:top w:val="single" w:sz="36" w:space="1" w:color="C00000"/>
          <w:left w:val="single" w:sz="36" w:space="4" w:color="C00000"/>
          <w:bottom w:val="single" w:sz="36" w:space="1" w:color="C00000"/>
          <w:right w:val="single" w:sz="36" w:space="4" w:color="C00000"/>
        </w:pBdr>
        <w:jc w:val="both"/>
        <w:rPr>
          <w:rFonts w:cs="Arial"/>
          <w:b/>
          <w:color w:val="C00000"/>
          <w:sz w:val="56"/>
          <w:szCs w:val="56"/>
        </w:rPr>
      </w:pPr>
      <w:r>
        <w:rPr>
          <w:rFonts w:cs="Arial"/>
          <w:b/>
          <w:color w:val="C00000"/>
          <w:sz w:val="56"/>
          <w:szCs w:val="56"/>
        </w:rPr>
        <w:t>INFORME</w:t>
      </w:r>
    </w:p>
    <w:p w:rsidR="00A92A41" w:rsidRDefault="00A92A41" w:rsidP="00A92A41">
      <w:pPr>
        <w:pBdr>
          <w:top w:val="single" w:sz="36" w:space="1" w:color="C00000"/>
          <w:left w:val="single" w:sz="36" w:space="4" w:color="C00000"/>
          <w:bottom w:val="single" w:sz="36" w:space="1" w:color="C00000"/>
          <w:right w:val="single" w:sz="36" w:space="4" w:color="C00000"/>
        </w:pBdr>
        <w:jc w:val="both"/>
        <w:rPr>
          <w:rFonts w:cs="Arial"/>
          <w:b/>
          <w:color w:val="C00000"/>
          <w:sz w:val="56"/>
          <w:szCs w:val="56"/>
        </w:rPr>
      </w:pPr>
    </w:p>
    <w:p w:rsidR="00A92A41" w:rsidRDefault="00A92A41" w:rsidP="00A92A41">
      <w:pPr>
        <w:pBdr>
          <w:top w:val="single" w:sz="36" w:space="1" w:color="C00000"/>
          <w:left w:val="single" w:sz="36" w:space="4" w:color="C00000"/>
          <w:bottom w:val="single" w:sz="36" w:space="1" w:color="C00000"/>
          <w:right w:val="single" w:sz="36" w:space="4" w:color="C00000"/>
        </w:pBdr>
        <w:jc w:val="both"/>
        <w:rPr>
          <w:rFonts w:cs="Arial"/>
          <w:b/>
          <w:color w:val="C00000"/>
          <w:sz w:val="72"/>
          <w:szCs w:val="72"/>
        </w:rPr>
      </w:pPr>
    </w:p>
    <w:p w:rsidR="00BE483B" w:rsidRDefault="00DD1996" w:rsidP="00A92A41">
      <w:pPr>
        <w:pBdr>
          <w:top w:val="single" w:sz="36" w:space="1" w:color="C00000"/>
          <w:left w:val="single" w:sz="36" w:space="4" w:color="C00000"/>
          <w:bottom w:val="single" w:sz="36" w:space="1" w:color="C00000"/>
          <w:right w:val="single" w:sz="36" w:space="4" w:color="C00000"/>
        </w:pBdr>
        <w:rPr>
          <w:rFonts w:cs="Arial"/>
          <w:b/>
          <w:color w:val="C00000"/>
          <w:sz w:val="72"/>
          <w:szCs w:val="72"/>
          <w:u w:val="single"/>
        </w:rPr>
      </w:pPr>
      <w:r>
        <w:rPr>
          <w:rFonts w:cs="Arial"/>
          <w:b/>
          <w:color w:val="C00000"/>
          <w:sz w:val="72"/>
          <w:szCs w:val="72"/>
          <w:u w:val="single"/>
        </w:rPr>
        <w:t>RESULTATS AVALDO</w:t>
      </w:r>
      <w:r w:rsidR="00BE483B">
        <w:rPr>
          <w:rFonts w:cs="Arial"/>
          <w:b/>
          <w:color w:val="C00000"/>
          <w:sz w:val="72"/>
          <w:szCs w:val="72"/>
          <w:u w:val="single"/>
        </w:rPr>
        <w:t xml:space="preserve"> </w:t>
      </w:r>
    </w:p>
    <w:p w:rsidR="00A92A41" w:rsidRPr="00A92A41" w:rsidRDefault="00A92A41" w:rsidP="00A92A41">
      <w:pPr>
        <w:pBdr>
          <w:top w:val="single" w:sz="36" w:space="1" w:color="C00000"/>
          <w:left w:val="single" w:sz="36" w:space="4" w:color="C00000"/>
          <w:bottom w:val="single" w:sz="36" w:space="1" w:color="C00000"/>
          <w:right w:val="single" w:sz="36" w:space="4" w:color="C00000"/>
        </w:pBdr>
        <w:rPr>
          <w:rFonts w:cs="Arial"/>
          <w:b/>
          <w:i/>
          <w:color w:val="C00000"/>
          <w:sz w:val="72"/>
          <w:szCs w:val="72"/>
        </w:rPr>
      </w:pPr>
      <w:r w:rsidRPr="00A92A41">
        <w:rPr>
          <w:rFonts w:cs="Arial"/>
          <w:b/>
          <w:color w:val="C00000"/>
          <w:sz w:val="72"/>
          <w:szCs w:val="72"/>
        </w:rPr>
        <w:t>CURS 20</w:t>
      </w:r>
      <w:r w:rsidR="00CD333E">
        <w:rPr>
          <w:rFonts w:cs="Arial"/>
          <w:b/>
          <w:color w:val="C00000"/>
          <w:sz w:val="72"/>
          <w:szCs w:val="72"/>
        </w:rPr>
        <w:t>20</w:t>
      </w:r>
      <w:r w:rsidRPr="00A92A41">
        <w:rPr>
          <w:rFonts w:cs="Arial"/>
          <w:b/>
          <w:color w:val="C00000"/>
          <w:sz w:val="72"/>
          <w:szCs w:val="72"/>
        </w:rPr>
        <w:t>-20</w:t>
      </w:r>
      <w:r w:rsidR="008205EF">
        <w:rPr>
          <w:rFonts w:cs="Arial"/>
          <w:b/>
          <w:color w:val="C00000"/>
          <w:sz w:val="72"/>
          <w:szCs w:val="72"/>
        </w:rPr>
        <w:t>2</w:t>
      </w:r>
      <w:r w:rsidR="00CD333E">
        <w:rPr>
          <w:rFonts w:cs="Arial"/>
          <w:b/>
          <w:color w:val="C00000"/>
          <w:sz w:val="72"/>
          <w:szCs w:val="72"/>
        </w:rPr>
        <w:t>1</w:t>
      </w:r>
    </w:p>
    <w:p w:rsidR="00A92A41" w:rsidRDefault="00A92A41" w:rsidP="00A92A41">
      <w:pPr>
        <w:pBdr>
          <w:top w:val="single" w:sz="36" w:space="1" w:color="C00000"/>
          <w:left w:val="single" w:sz="36" w:space="4" w:color="C00000"/>
          <w:bottom w:val="single" w:sz="36" w:space="1" w:color="C00000"/>
          <w:right w:val="single" w:sz="36" w:space="4" w:color="C00000"/>
        </w:pBdr>
        <w:jc w:val="both"/>
        <w:rPr>
          <w:rFonts w:cs="Arial"/>
          <w:color w:val="C00000"/>
          <w:sz w:val="40"/>
          <w:szCs w:val="48"/>
        </w:rPr>
      </w:pPr>
    </w:p>
    <w:p w:rsidR="00A92A41" w:rsidRPr="00A92A41" w:rsidRDefault="00A92A41" w:rsidP="00A92A41">
      <w:pPr>
        <w:pBdr>
          <w:top w:val="single" w:sz="36" w:space="1" w:color="C00000"/>
          <w:left w:val="single" w:sz="36" w:space="4" w:color="C00000"/>
          <w:bottom w:val="single" w:sz="36" w:space="1" w:color="C00000"/>
          <w:right w:val="single" w:sz="36" w:space="4" w:color="C00000"/>
        </w:pBdr>
        <w:jc w:val="both"/>
        <w:rPr>
          <w:rFonts w:cs="Arial"/>
          <w:color w:val="C00000"/>
          <w:sz w:val="44"/>
          <w:szCs w:val="44"/>
        </w:rPr>
      </w:pPr>
      <w:r w:rsidRPr="00A92A41">
        <w:rPr>
          <w:rFonts w:cs="Arial"/>
          <w:color w:val="C00000"/>
          <w:sz w:val="44"/>
          <w:szCs w:val="44"/>
        </w:rPr>
        <w:t>Unitat de Projectes, Estudis i Qualitat (UPEQ)</w:t>
      </w:r>
    </w:p>
    <w:p w:rsidR="00A92A41" w:rsidRPr="00A92A41" w:rsidRDefault="00CD333E" w:rsidP="00A92A41">
      <w:pPr>
        <w:pBdr>
          <w:top w:val="single" w:sz="36" w:space="1" w:color="C00000"/>
          <w:left w:val="single" w:sz="36" w:space="4" w:color="C00000"/>
          <w:bottom w:val="single" w:sz="36" w:space="1" w:color="C00000"/>
          <w:right w:val="single" w:sz="36" w:space="4" w:color="C00000"/>
        </w:pBdr>
        <w:jc w:val="both"/>
        <w:rPr>
          <w:rFonts w:cs="Arial"/>
          <w:color w:val="C00000"/>
          <w:sz w:val="44"/>
          <w:szCs w:val="44"/>
        </w:rPr>
      </w:pPr>
      <w:r>
        <w:rPr>
          <w:rFonts w:cs="Arial"/>
          <w:color w:val="C00000"/>
          <w:sz w:val="44"/>
          <w:szCs w:val="44"/>
        </w:rPr>
        <w:t>Setembre</w:t>
      </w:r>
      <w:r w:rsidR="00A92A41" w:rsidRPr="00A92A41">
        <w:rPr>
          <w:rFonts w:cs="Arial"/>
          <w:color w:val="C00000"/>
          <w:sz w:val="44"/>
          <w:szCs w:val="44"/>
        </w:rPr>
        <w:t xml:space="preserve"> del 20</w:t>
      </w:r>
      <w:r w:rsidR="008205EF">
        <w:rPr>
          <w:rFonts w:cs="Arial"/>
          <w:color w:val="C00000"/>
          <w:sz w:val="44"/>
          <w:szCs w:val="44"/>
        </w:rPr>
        <w:t>2</w:t>
      </w:r>
      <w:r>
        <w:rPr>
          <w:rFonts w:cs="Arial"/>
          <w:color w:val="C00000"/>
          <w:sz w:val="44"/>
          <w:szCs w:val="44"/>
        </w:rPr>
        <w:t>1</w:t>
      </w:r>
    </w:p>
    <w:p w:rsidR="00A92A41" w:rsidRDefault="00A92A41" w:rsidP="00A92A41">
      <w:pPr>
        <w:pBdr>
          <w:top w:val="single" w:sz="36" w:space="1" w:color="C00000"/>
          <w:left w:val="single" w:sz="36" w:space="4" w:color="C00000"/>
          <w:bottom w:val="single" w:sz="36" w:space="1" w:color="C00000"/>
          <w:right w:val="single" w:sz="36" w:space="4" w:color="C00000"/>
        </w:pBdr>
        <w:jc w:val="both"/>
        <w:rPr>
          <w:rFonts w:cs="Arial"/>
          <w:color w:val="C00000"/>
          <w:sz w:val="36"/>
          <w:szCs w:val="36"/>
        </w:rPr>
      </w:pPr>
    </w:p>
    <w:p w:rsidR="00A92A41" w:rsidRDefault="00A92A41" w:rsidP="00A92A41">
      <w:pPr>
        <w:pBdr>
          <w:top w:val="single" w:sz="36" w:space="1" w:color="C00000"/>
          <w:left w:val="single" w:sz="36" w:space="4" w:color="C00000"/>
          <w:bottom w:val="single" w:sz="36" w:space="1" w:color="C00000"/>
          <w:right w:val="single" w:sz="36" w:space="4" w:color="C00000"/>
        </w:pBdr>
        <w:jc w:val="both"/>
        <w:rPr>
          <w:rFonts w:cs="Arial"/>
          <w:color w:val="C00000"/>
          <w:sz w:val="36"/>
          <w:szCs w:val="36"/>
        </w:rPr>
      </w:pPr>
    </w:p>
    <w:p w:rsidR="00A92A41" w:rsidRDefault="00A92A41" w:rsidP="00A92A41">
      <w:pPr>
        <w:pBdr>
          <w:top w:val="single" w:sz="36" w:space="1" w:color="C00000"/>
          <w:left w:val="single" w:sz="36" w:space="4" w:color="C00000"/>
          <w:bottom w:val="single" w:sz="36" w:space="1" w:color="C00000"/>
          <w:right w:val="single" w:sz="36" w:space="4" w:color="C00000"/>
        </w:pBdr>
        <w:jc w:val="both"/>
        <w:rPr>
          <w:rFonts w:cs="Arial"/>
          <w:color w:val="C00000"/>
          <w:sz w:val="36"/>
          <w:szCs w:val="36"/>
        </w:rPr>
      </w:pPr>
    </w:p>
    <w:p w:rsidR="00A92A41" w:rsidRPr="00A92A41" w:rsidRDefault="00A92A41" w:rsidP="00A92A41">
      <w:pPr>
        <w:pBdr>
          <w:top w:val="single" w:sz="36" w:space="1" w:color="C00000"/>
          <w:left w:val="single" w:sz="36" w:space="4" w:color="C00000"/>
          <w:bottom w:val="single" w:sz="36" w:space="1" w:color="C00000"/>
          <w:right w:val="single" w:sz="36" w:space="4" w:color="C00000"/>
        </w:pBdr>
        <w:jc w:val="both"/>
        <w:rPr>
          <w:rFonts w:cs="Arial"/>
          <w:b/>
          <w:color w:val="C00000"/>
          <w:sz w:val="36"/>
          <w:szCs w:val="36"/>
        </w:rPr>
      </w:pPr>
    </w:p>
    <w:p w:rsidR="00A92A41" w:rsidRDefault="00194B20" w:rsidP="003B4BE7">
      <w:pPr>
        <w:spacing w:after="0" w:line="240" w:lineRule="auto"/>
        <w:jc w:val="both"/>
        <w:rPr>
          <w:noProof/>
        </w:rPr>
        <w:sectPr w:rsidR="00A92A41" w:rsidSect="003F4374">
          <w:pgSz w:w="11906" w:h="16838"/>
          <w:pgMar w:top="1843" w:right="1701" w:bottom="1417" w:left="1701" w:header="708" w:footer="303" w:gutter="0"/>
          <w:cols w:space="708"/>
          <w:docGrid w:linePitch="360"/>
        </w:sectPr>
      </w:pPr>
      <w:r w:rsidRPr="009F4F31">
        <w:rPr>
          <w:noProof/>
          <w:lang w:val="es-ES" w:eastAsia="es-ES"/>
        </w:rPr>
        <w:drawing>
          <wp:inline distT="0" distB="0" distL="0" distR="0">
            <wp:extent cx="2162175" cy="695325"/>
            <wp:effectExtent l="0" t="0" r="0" b="0"/>
            <wp:docPr id="1" name="Imatge 1" descr="Descripción: La nova marca de la U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 descr="Descripción: La nova marca de la UP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695325"/>
                    </a:xfrm>
                    <a:prstGeom prst="rect">
                      <a:avLst/>
                    </a:prstGeom>
                    <a:noFill/>
                    <a:ln>
                      <a:noFill/>
                    </a:ln>
                  </pic:spPr>
                </pic:pic>
              </a:graphicData>
            </a:graphic>
          </wp:inline>
        </w:drawing>
      </w:r>
    </w:p>
    <w:p w:rsidR="00DF1037" w:rsidRPr="008D6003" w:rsidRDefault="0025130B" w:rsidP="008205EF">
      <w:pPr>
        <w:pStyle w:val="Ttol1"/>
        <w:rPr>
          <w:rFonts w:asciiTheme="minorHAnsi" w:hAnsiTheme="minorHAnsi" w:cstheme="minorHAnsi"/>
          <w:color w:val="C00000"/>
          <w:sz w:val="28"/>
          <w:szCs w:val="28"/>
        </w:rPr>
      </w:pPr>
      <w:r w:rsidRPr="008D6003">
        <w:rPr>
          <w:rFonts w:asciiTheme="minorHAnsi" w:hAnsiTheme="minorHAnsi" w:cstheme="minorHAnsi"/>
          <w:color w:val="C00000"/>
          <w:sz w:val="28"/>
          <w:szCs w:val="28"/>
        </w:rPr>
        <w:lastRenderedPageBreak/>
        <w:t>Introducció</w:t>
      </w:r>
    </w:p>
    <w:p w:rsidR="00DD1996" w:rsidRDefault="00DD1996" w:rsidP="00086C6B">
      <w:pPr>
        <w:jc w:val="both"/>
      </w:pPr>
      <w:r>
        <w:t>En aquest informe es recullen els resultats de l’AVALDO, l’enquesta que trimestralment fan els estudiants per valorar la</w:t>
      </w:r>
      <w:r w:rsidR="00CF673F">
        <w:t xml:space="preserve"> seva satisfacció amb la </w:t>
      </w:r>
      <w:r>
        <w:t>docència que han rebut</w:t>
      </w:r>
      <w:r w:rsidR="00BE483B">
        <w:t>, dels estudiants de grau el curs 20</w:t>
      </w:r>
      <w:r w:rsidR="00CA29D5">
        <w:t>20</w:t>
      </w:r>
      <w:r w:rsidR="00BE483B">
        <w:t>-202</w:t>
      </w:r>
      <w:r w:rsidR="00CA29D5">
        <w:t>1</w:t>
      </w:r>
      <w:r>
        <w:t xml:space="preserve">. </w:t>
      </w:r>
    </w:p>
    <w:p w:rsidR="00122921" w:rsidRDefault="00122921" w:rsidP="00086C6B">
      <w:pPr>
        <w:jc w:val="both"/>
      </w:pPr>
      <w:r>
        <w:t>L’AVALDO és una enquesta que consta de quatre preguntes referides a l’assignatura-grup:</w:t>
      </w:r>
    </w:p>
    <w:p w:rsidR="00EB525A" w:rsidRDefault="00EB525A" w:rsidP="00EB525A">
      <w:pPr>
        <w:pStyle w:val="Pargrafdellista"/>
        <w:numPr>
          <w:ilvl w:val="0"/>
          <w:numId w:val="19"/>
        </w:numPr>
        <w:spacing w:after="0" w:line="240" w:lineRule="auto"/>
        <w:jc w:val="both"/>
      </w:pPr>
      <w:r>
        <w:t>Els continguts impartits en l'assignatura i les competències treballades s'ajusten al que diu el pla docent.</w:t>
      </w:r>
    </w:p>
    <w:p w:rsidR="00EB525A" w:rsidRDefault="00EB525A" w:rsidP="00EB525A">
      <w:pPr>
        <w:pStyle w:val="Pargrafdellista"/>
        <w:numPr>
          <w:ilvl w:val="0"/>
          <w:numId w:val="19"/>
        </w:numPr>
        <w:spacing w:after="0" w:line="240" w:lineRule="auto"/>
        <w:jc w:val="both"/>
      </w:pPr>
      <w:r>
        <w:t>Les metodologies docents utilitzades m'han ajudat en el procés d'aprenentatge.</w:t>
      </w:r>
    </w:p>
    <w:p w:rsidR="00EB525A" w:rsidRDefault="00EB525A" w:rsidP="00EB525A">
      <w:pPr>
        <w:pStyle w:val="Pargrafdellista"/>
        <w:numPr>
          <w:ilvl w:val="0"/>
          <w:numId w:val="19"/>
        </w:numPr>
        <w:spacing w:after="0" w:line="240" w:lineRule="auto"/>
        <w:jc w:val="both"/>
      </w:pPr>
      <w:r>
        <w:t>El volum de treball exigit s'adequa als crèdits de l'assignatura.</w:t>
      </w:r>
    </w:p>
    <w:p w:rsidR="00EB525A" w:rsidRDefault="00EB525A" w:rsidP="00EB525A">
      <w:pPr>
        <w:pStyle w:val="Pargrafdellista"/>
        <w:numPr>
          <w:ilvl w:val="0"/>
          <w:numId w:val="19"/>
        </w:numPr>
        <w:spacing w:after="0" w:line="240" w:lineRule="auto"/>
        <w:jc w:val="both"/>
      </w:pPr>
      <w:r>
        <w:t>En conjunt estic satisfet/a amb aquesta assignatura.</w:t>
      </w:r>
    </w:p>
    <w:p w:rsidR="00122921" w:rsidRDefault="00122921" w:rsidP="006866A7">
      <w:pPr>
        <w:spacing w:after="0" w:line="240" w:lineRule="auto"/>
        <w:jc w:val="both"/>
      </w:pPr>
    </w:p>
    <w:p w:rsidR="00122921" w:rsidRDefault="00122921" w:rsidP="00086C6B">
      <w:pPr>
        <w:jc w:val="both"/>
      </w:pPr>
      <w:r>
        <w:t>I dues preguntes referides a cadascun dels professors que hagin impartit docència en aquella assignatura-grup:</w:t>
      </w:r>
    </w:p>
    <w:p w:rsidR="00EB525A" w:rsidRDefault="00EB525A" w:rsidP="00EB525A">
      <w:pPr>
        <w:pStyle w:val="Pargrafdellista"/>
        <w:numPr>
          <w:ilvl w:val="0"/>
          <w:numId w:val="19"/>
        </w:numPr>
        <w:spacing w:after="0" w:line="240" w:lineRule="auto"/>
        <w:jc w:val="both"/>
      </w:pPr>
      <w:r>
        <w:t>El professor o professora ha complert adequadament les seves obligacions docents (pla docent, puntualitat, atenció a l'estudiant, etc.)</w:t>
      </w:r>
    </w:p>
    <w:p w:rsidR="00122921" w:rsidRDefault="00EB525A" w:rsidP="00EB525A">
      <w:pPr>
        <w:pStyle w:val="Pargrafdellista"/>
        <w:numPr>
          <w:ilvl w:val="0"/>
          <w:numId w:val="19"/>
        </w:numPr>
        <w:spacing w:after="0" w:line="240" w:lineRule="auto"/>
        <w:jc w:val="both"/>
      </w:pPr>
      <w:r>
        <w:t>Estic satisfet/a amb la docència rebuda.</w:t>
      </w:r>
    </w:p>
    <w:p w:rsidR="002E0C8A" w:rsidRDefault="002E0C8A" w:rsidP="006866A7">
      <w:pPr>
        <w:spacing w:after="0" w:line="240" w:lineRule="auto"/>
        <w:jc w:val="both"/>
      </w:pPr>
    </w:p>
    <w:p w:rsidR="00122921" w:rsidRDefault="006866A7" w:rsidP="00086C6B">
      <w:pPr>
        <w:jc w:val="both"/>
      </w:pPr>
      <w:r>
        <w:t>L’estudiant també té la possibilitat de fer comentaris tant en relació a l’assignatura-grup com per a cada professor o professora que li hagi impartit docència.</w:t>
      </w:r>
      <w:r w:rsidR="00122921">
        <w:t xml:space="preserve"> </w:t>
      </w:r>
    </w:p>
    <w:p w:rsidR="00CF673F" w:rsidRDefault="00CF673F" w:rsidP="00086C6B">
      <w:pPr>
        <w:jc w:val="both"/>
      </w:pPr>
      <w:r>
        <w:t xml:space="preserve">Deu dies abans que comenci el període d’exàmens </w:t>
      </w:r>
      <w:r w:rsidR="00D47BAD">
        <w:t>cada estudiant té accés, des de l</w:t>
      </w:r>
      <w:r>
        <w:t>a</w:t>
      </w:r>
      <w:r w:rsidR="00D47BAD">
        <w:t xml:space="preserve"> seva </w:t>
      </w:r>
      <w:r>
        <w:t xml:space="preserve">Aula </w:t>
      </w:r>
      <w:r w:rsidR="00D47BAD">
        <w:t>G</w:t>
      </w:r>
      <w:r>
        <w:t>lobal</w:t>
      </w:r>
      <w:r w:rsidR="00D47BAD">
        <w:t>,</w:t>
      </w:r>
      <w:r>
        <w:t xml:space="preserve"> </w:t>
      </w:r>
      <w:r w:rsidR="00D47BAD">
        <w:t xml:space="preserve">a les enquestes per valorar les assignatures-grup a les que ha estat matriculat aquell trimestre, i els professors que li han impartit la docència. </w:t>
      </w:r>
    </w:p>
    <w:p w:rsidR="00122921" w:rsidRDefault="00D47BAD" w:rsidP="00086C6B">
      <w:pPr>
        <w:jc w:val="both"/>
      </w:pPr>
      <w:r>
        <w:t xml:space="preserve">Durant el període en que l’AVALDO està actiu </w:t>
      </w:r>
      <w:r w:rsidR="00122921">
        <w:t xml:space="preserve">se’n fa molta difusió per diferents mitjans (anuncis i notificacions al Camps Global,  informacions al FUÀ! i al Breus, missatges des de les Facultats, etc.), i tant entre els estudiants com entre el professorat, amb la finalitat que la participació sigui el més </w:t>
      </w:r>
      <w:r w:rsidR="006866A7">
        <w:t>elevada</w:t>
      </w:r>
      <w:r w:rsidR="00122921">
        <w:t xml:space="preserve"> possible. </w:t>
      </w:r>
    </w:p>
    <w:p w:rsidR="006866A7" w:rsidRPr="006866A7" w:rsidRDefault="006866A7" w:rsidP="006866A7">
      <w:pPr>
        <w:spacing w:after="0" w:line="240" w:lineRule="auto"/>
        <w:jc w:val="both"/>
      </w:pPr>
      <w:r>
        <w:t>Amb la informació recollida amb l’AVALDO e</w:t>
      </w:r>
      <w:r w:rsidRPr="006866A7">
        <w:t>s generen automàticament una sèrie d’informes: </w:t>
      </w:r>
    </w:p>
    <w:p w:rsidR="006866A7" w:rsidRPr="006866A7" w:rsidRDefault="006866A7" w:rsidP="006866A7">
      <w:pPr>
        <w:pStyle w:val="Pargrafdellista"/>
        <w:numPr>
          <w:ilvl w:val="0"/>
          <w:numId w:val="17"/>
        </w:numPr>
        <w:spacing w:after="0" w:line="240" w:lineRule="auto"/>
        <w:jc w:val="both"/>
      </w:pPr>
      <w:r w:rsidRPr="006866A7">
        <w:t>Cada professor avaluat té accés: als resultats de tota la docència que ha impartit durant el trimestre, als suggeriments dels alumnes sobre la seva docència i  a un resum de les seves valoracions.</w:t>
      </w:r>
    </w:p>
    <w:p w:rsidR="006866A7" w:rsidRPr="006866A7" w:rsidRDefault="006866A7" w:rsidP="006866A7">
      <w:pPr>
        <w:pStyle w:val="Pargrafdellista"/>
        <w:numPr>
          <w:ilvl w:val="0"/>
          <w:numId w:val="17"/>
        </w:numPr>
        <w:spacing w:after="0" w:line="240" w:lineRule="auto"/>
        <w:jc w:val="both"/>
      </w:pPr>
      <w:r w:rsidRPr="006866A7">
        <w:t>Els degans i caps d’estudis tenen accés als resultats de tot el professorat que ha impartit docència al seu estudi durant el trimestre. Pot accedir als resultats de manera individualitzada  -assignatura per assignatura- o a través de la classificació en percentils.</w:t>
      </w:r>
    </w:p>
    <w:p w:rsidR="006866A7" w:rsidRPr="006866A7" w:rsidRDefault="006866A7" w:rsidP="006866A7">
      <w:pPr>
        <w:pStyle w:val="Pargrafdellista"/>
        <w:numPr>
          <w:ilvl w:val="0"/>
          <w:numId w:val="17"/>
        </w:numPr>
        <w:spacing w:after="0" w:line="240" w:lineRule="auto"/>
        <w:jc w:val="both"/>
      </w:pPr>
      <w:r w:rsidRPr="006866A7">
        <w:t>Els directors de departament accedeixen als resultats de tot el professorat del departament que ha impartit docència durant el trimestre, amb independència de l'estudi on ho hagin fet. Pot accedir als resultats individualment -assignatura per assignatura- o a través de la classificació en percentils.</w:t>
      </w:r>
    </w:p>
    <w:p w:rsidR="006866A7" w:rsidRPr="006866A7" w:rsidRDefault="006866A7" w:rsidP="006866A7">
      <w:pPr>
        <w:pStyle w:val="Pargrafdellista"/>
        <w:numPr>
          <w:ilvl w:val="0"/>
          <w:numId w:val="17"/>
        </w:numPr>
        <w:spacing w:after="0" w:line="240" w:lineRule="auto"/>
        <w:jc w:val="both"/>
      </w:pPr>
      <w:r w:rsidRPr="006866A7">
        <w:t>El vicerectorat responsable té accés a tots els resultats de l'avaluació de tota la docència cada trimestre.</w:t>
      </w:r>
    </w:p>
    <w:p w:rsidR="006866A7" w:rsidRPr="006866A7" w:rsidRDefault="006866A7" w:rsidP="006866A7">
      <w:pPr>
        <w:pStyle w:val="Pargrafdellista"/>
        <w:numPr>
          <w:ilvl w:val="0"/>
          <w:numId w:val="17"/>
        </w:numPr>
        <w:spacing w:after="0" w:line="240" w:lineRule="auto"/>
        <w:jc w:val="both"/>
      </w:pPr>
      <w:r w:rsidRPr="006866A7">
        <w:t>Tots els membres de la comunitat universitària: professorat, estudiants i PAS també tenen accés a la consulta pública dels resultats de les assignatures.</w:t>
      </w:r>
    </w:p>
    <w:p w:rsidR="006866A7" w:rsidRPr="006866A7" w:rsidRDefault="006866A7" w:rsidP="006866A7">
      <w:pPr>
        <w:spacing w:after="0" w:line="240" w:lineRule="auto"/>
        <w:jc w:val="both"/>
        <w:rPr>
          <w:lang w:val="es-ES"/>
        </w:rPr>
      </w:pPr>
    </w:p>
    <w:p w:rsidR="00086C6B" w:rsidRDefault="00086C6B" w:rsidP="006866A7">
      <w:pPr>
        <w:spacing w:after="0" w:line="240" w:lineRule="auto"/>
        <w:jc w:val="both"/>
      </w:pPr>
    </w:p>
    <w:p w:rsidR="00086C6B" w:rsidRDefault="00086C6B" w:rsidP="006866A7">
      <w:pPr>
        <w:spacing w:after="0" w:line="240" w:lineRule="auto"/>
        <w:jc w:val="both"/>
      </w:pPr>
    </w:p>
    <w:p w:rsidR="006866A7" w:rsidRPr="006866A7" w:rsidRDefault="006866A7" w:rsidP="006866A7">
      <w:pPr>
        <w:spacing w:after="0" w:line="240" w:lineRule="auto"/>
        <w:jc w:val="both"/>
      </w:pPr>
      <w:r w:rsidRPr="006866A7">
        <w:t>La valoració de la docència respon a un mandat estatutari i proporciona:</w:t>
      </w:r>
    </w:p>
    <w:p w:rsidR="006866A7" w:rsidRPr="006866A7" w:rsidRDefault="00C868ED" w:rsidP="006866A7">
      <w:pPr>
        <w:pStyle w:val="Pargrafdellista"/>
        <w:numPr>
          <w:ilvl w:val="0"/>
          <w:numId w:val="17"/>
        </w:numPr>
        <w:spacing w:after="0" w:line="240" w:lineRule="auto"/>
        <w:jc w:val="both"/>
      </w:pPr>
      <w:r>
        <w:lastRenderedPageBreak/>
        <w:t>A</w:t>
      </w:r>
      <w:r w:rsidR="006866A7" w:rsidRPr="006866A7">
        <w:t xml:space="preserve"> la Universitat i als responsables acadèmics: dades i elements de judici que ajuden en la presa de decisions</w:t>
      </w:r>
    </w:p>
    <w:p w:rsidR="006866A7" w:rsidRPr="006866A7" w:rsidRDefault="00C868ED" w:rsidP="006866A7">
      <w:pPr>
        <w:pStyle w:val="Pargrafdellista"/>
        <w:numPr>
          <w:ilvl w:val="0"/>
          <w:numId w:val="17"/>
        </w:numPr>
        <w:spacing w:after="0" w:line="240" w:lineRule="auto"/>
        <w:jc w:val="both"/>
      </w:pPr>
      <w:r>
        <w:t>A</w:t>
      </w:r>
      <w:r w:rsidR="006866A7" w:rsidRPr="006866A7">
        <w:t>ls estudiants, una manera efectiva d'expressar el grau de satisfacció amb la docència rebuda. </w:t>
      </w:r>
    </w:p>
    <w:p w:rsidR="00776370" w:rsidRDefault="00776370" w:rsidP="006866A7">
      <w:pPr>
        <w:spacing w:after="0" w:line="240" w:lineRule="auto"/>
        <w:jc w:val="both"/>
      </w:pPr>
    </w:p>
    <w:p w:rsidR="006866A7" w:rsidRDefault="006866A7" w:rsidP="00086C6B">
      <w:pPr>
        <w:jc w:val="both"/>
      </w:pPr>
      <w:r w:rsidRPr="006866A7">
        <w:t xml:space="preserve">El marc normatiu actual que estableixen la LOU i la LUC fa que, recollir aquesta valoració, sigui una informació necessària en els processos d'acreditació promoguts tant per l'Agència per a la Qualitat del Sistema Universitari de Catalunya (AQU) com per l'Agencia Nacional de </w:t>
      </w:r>
      <w:proofErr w:type="spellStart"/>
      <w:r w:rsidRPr="006866A7">
        <w:t>Evaluación</w:t>
      </w:r>
      <w:proofErr w:type="spellEnd"/>
      <w:r w:rsidRPr="006866A7">
        <w:t xml:space="preserve"> de la </w:t>
      </w:r>
      <w:proofErr w:type="spellStart"/>
      <w:r w:rsidRPr="006866A7">
        <w:t>Calidad</w:t>
      </w:r>
      <w:proofErr w:type="spellEnd"/>
      <w:r w:rsidRPr="006866A7">
        <w:t xml:space="preserve"> y </w:t>
      </w:r>
      <w:proofErr w:type="spellStart"/>
      <w:r w:rsidRPr="006866A7">
        <w:t>Acreditación</w:t>
      </w:r>
      <w:proofErr w:type="spellEnd"/>
      <w:r w:rsidRPr="006866A7">
        <w:t xml:space="preserve"> (ANE</w:t>
      </w:r>
      <w:r w:rsidR="00086C6B">
        <w:t>CA)</w:t>
      </w:r>
      <w:r w:rsidRPr="006866A7">
        <w:t xml:space="preserve">. D’altra banda, és una informació que també es demana, com a requisit obligatori, en els processos </w:t>
      </w:r>
      <w:proofErr w:type="spellStart"/>
      <w:r w:rsidRPr="006866A7">
        <w:t>avaluatius</w:t>
      </w:r>
      <w:proofErr w:type="spellEnd"/>
      <w:r w:rsidRPr="006866A7">
        <w:t xml:space="preserve"> del professorat vinculats a l'atorgament de complements econòmics (en aquests casos s’ha de poder disposar de les valoracions obtingudes fins a 30 anys enrere, ja que és el període que abasten els sis quinquennis que poden sol·licitar els professors).</w:t>
      </w:r>
    </w:p>
    <w:p w:rsidR="006866A7" w:rsidRDefault="006866A7" w:rsidP="00086C6B">
      <w:pPr>
        <w:jc w:val="both"/>
      </w:pPr>
      <w:r>
        <w:t>La Unitat de Projectes, Estudis i Qualitat (UPEQ) és la Unitat que gestiona aquest procés.</w:t>
      </w:r>
    </w:p>
    <w:p w:rsidR="006866A7" w:rsidRPr="00711904" w:rsidRDefault="006866A7" w:rsidP="00086C6B">
      <w:pPr>
        <w:jc w:val="both"/>
      </w:pPr>
      <w:r>
        <w:t>En aquest informe es presenten els principals resultats obtinguts amb l’AVALDO el curs 2020-2021</w:t>
      </w:r>
      <w:r w:rsidR="00C868ED">
        <w:t>, és a dir les valoracions mitjanes que s’han obtingut en cada pregunta pel conj</w:t>
      </w:r>
      <w:r w:rsidR="0027107C">
        <w:t>unt de la UPF, UCA, i titulació</w:t>
      </w:r>
      <w:r>
        <w:t xml:space="preserve">. </w:t>
      </w:r>
    </w:p>
    <w:p w:rsidR="00D47BAD" w:rsidRDefault="00122921" w:rsidP="001C27DB">
      <w:pPr>
        <w:jc w:val="both"/>
      </w:pPr>
      <w:r>
        <w:t xml:space="preserve"> </w:t>
      </w:r>
    </w:p>
    <w:p w:rsidR="0098032B" w:rsidRDefault="0098032B" w:rsidP="00D645D6">
      <w:pPr>
        <w:numPr>
          <w:ilvl w:val="0"/>
          <w:numId w:val="15"/>
        </w:numPr>
        <w:ind w:left="142" w:hanging="142"/>
        <w:jc w:val="both"/>
        <w:rPr>
          <w:b/>
          <w:color w:val="C00000"/>
        </w:rPr>
      </w:pPr>
      <w:r w:rsidRPr="0098032B">
        <w:rPr>
          <w:b/>
          <w:color w:val="C00000"/>
        </w:rPr>
        <w:t>Resultats de l’AVALDO 20</w:t>
      </w:r>
      <w:r w:rsidR="00CA29D5">
        <w:rPr>
          <w:b/>
          <w:color w:val="C00000"/>
        </w:rPr>
        <w:t>20</w:t>
      </w:r>
      <w:r w:rsidRPr="0098032B">
        <w:rPr>
          <w:b/>
          <w:color w:val="C00000"/>
        </w:rPr>
        <w:t>-202</w:t>
      </w:r>
      <w:r w:rsidR="00776370">
        <w:rPr>
          <w:b/>
          <w:color w:val="C00000"/>
        </w:rPr>
        <w:t>1</w:t>
      </w:r>
      <w:r w:rsidR="00574630">
        <w:rPr>
          <w:b/>
          <w:color w:val="C00000"/>
        </w:rPr>
        <w:t xml:space="preserve"> </w:t>
      </w:r>
    </w:p>
    <w:p w:rsidR="00CF691C" w:rsidRDefault="00D645D6" w:rsidP="00302662">
      <w:pPr>
        <w:jc w:val="both"/>
      </w:pPr>
      <w:r>
        <w:t>A l</w:t>
      </w:r>
      <w:r w:rsidR="00AC5180">
        <w:t>a</w:t>
      </w:r>
      <w:r>
        <w:t xml:space="preserve"> taul</w:t>
      </w:r>
      <w:r w:rsidR="00AC5180">
        <w:t>a</w:t>
      </w:r>
      <w:r>
        <w:t xml:space="preserve"> 1 es proporciona la valoració</w:t>
      </w:r>
      <w:r w:rsidR="008466E9">
        <w:t xml:space="preserve"> mitjana</w:t>
      </w:r>
      <w:r>
        <w:t xml:space="preserve"> </w:t>
      </w:r>
      <w:r w:rsidR="008466E9">
        <w:t xml:space="preserve">que s’ha donat a les 6 qüestions plantejades a l’AVALDO </w:t>
      </w:r>
      <w:r w:rsidR="00CF691C">
        <w:t xml:space="preserve">cada trimestre del curs 2020-2021, i també la valoració mitjana de tot el curs, pel conjunt dels graus de la UPF, per a cada UCA i per a cadascun dels graus. </w:t>
      </w:r>
    </w:p>
    <w:p w:rsidR="0027107C" w:rsidRDefault="00CF691C" w:rsidP="00302662">
      <w:pPr>
        <w:jc w:val="both"/>
      </w:pPr>
      <w:r>
        <w:t>Com es pot veure, l</w:t>
      </w:r>
      <w:r w:rsidR="007E3720">
        <w:t>a majoria de valoracions se situen entre el 7 i el 8</w:t>
      </w:r>
      <w:r>
        <w:t>,5 en una escala de 0 a 10</w:t>
      </w:r>
    </w:p>
    <w:p w:rsidR="0027107C" w:rsidRDefault="00CF691C" w:rsidP="00302662">
      <w:pPr>
        <w:jc w:val="both"/>
      </w:pPr>
      <w:r>
        <w:t>P</w:t>
      </w:r>
      <w:r w:rsidR="0027107C">
        <w:t xml:space="preserve">el conjunt de </w:t>
      </w:r>
      <w:r>
        <w:t xml:space="preserve">graus de </w:t>
      </w:r>
      <w:r w:rsidR="0027107C">
        <w:t xml:space="preserve">la UPF les dues qüestions més ben valorades són </w:t>
      </w:r>
      <w:r w:rsidR="0098032B" w:rsidRPr="0098032B">
        <w:rPr>
          <w:b/>
        </w:rPr>
        <w:t>els continguts impartits en l'assignatura i les competències treballades s'ajusten al que diu el pla docent</w:t>
      </w:r>
      <w:r w:rsidR="0098032B">
        <w:t xml:space="preserve"> (8,3</w:t>
      </w:r>
      <w:r w:rsidR="00AC5180">
        <w:t>1</w:t>
      </w:r>
      <w:r w:rsidR="0098032B">
        <w:t>)</w:t>
      </w:r>
      <w:r w:rsidR="0027107C">
        <w:t xml:space="preserve"> i </w:t>
      </w:r>
      <w:r w:rsidR="0027107C" w:rsidRPr="0027107C">
        <w:rPr>
          <w:b/>
        </w:rPr>
        <w:t>el professor o professora ha complert adequadament les seves obligacions docents (pla docent, puntualitat, atenció a l'estudiant, etc.)</w:t>
      </w:r>
      <w:r w:rsidR="0027107C" w:rsidRPr="0027107C">
        <w:t xml:space="preserve"> (8,11)</w:t>
      </w:r>
      <w:r w:rsidR="0027107C">
        <w:t xml:space="preserve">. </w:t>
      </w:r>
    </w:p>
    <w:p w:rsidR="00CF691C" w:rsidRDefault="0027107C" w:rsidP="008466E9">
      <w:pPr>
        <w:jc w:val="both"/>
      </w:pPr>
      <w:r>
        <w:t xml:space="preserve">La tercera qüestió amb una valoració més alta és la </w:t>
      </w:r>
      <w:r w:rsidRPr="0027107C">
        <w:rPr>
          <w:b/>
        </w:rPr>
        <w:t>satisfacció amb la docència rebuda</w:t>
      </w:r>
      <w:r>
        <w:t xml:space="preserve"> (7,65), pregunta que es refereix a la docència impartida pel professor o professora que s’està valorant.</w:t>
      </w:r>
      <w:r w:rsidR="00394C79">
        <w:t xml:space="preserve"> </w:t>
      </w:r>
    </w:p>
    <w:p w:rsidR="008466E9" w:rsidRDefault="008466E9" w:rsidP="008466E9">
      <w:pPr>
        <w:jc w:val="both"/>
        <w:rPr>
          <w:b/>
        </w:rPr>
      </w:pPr>
      <w:r>
        <w:t xml:space="preserve">Tornant a la valoració d’aspectes relacionats amb l’assignatura, per ordre de més a menys valorat hi trobem </w:t>
      </w:r>
      <w:r>
        <w:rPr>
          <w:b/>
        </w:rPr>
        <w:t>e</w:t>
      </w:r>
      <w:r w:rsidRPr="00394C79">
        <w:rPr>
          <w:b/>
        </w:rPr>
        <w:t>l volum de treball exigit s'adequa als crèdits de l'assignatura</w:t>
      </w:r>
      <w:r>
        <w:rPr>
          <w:b/>
        </w:rPr>
        <w:t xml:space="preserve"> </w:t>
      </w:r>
      <w:r w:rsidRPr="00394C79">
        <w:t>(7,40)</w:t>
      </w:r>
      <w:r>
        <w:t xml:space="preserve">, </w:t>
      </w:r>
      <w:r w:rsidRPr="008466E9">
        <w:rPr>
          <w:b/>
        </w:rPr>
        <w:t>satisfacció amb el conjunt de l’assignatura</w:t>
      </w:r>
      <w:r>
        <w:t xml:space="preserve"> (7,22), i </w:t>
      </w:r>
      <w:r w:rsidRPr="008466E9">
        <w:rPr>
          <w:b/>
        </w:rPr>
        <w:t xml:space="preserve">les metodologies docents utilitzades m'han ajudat en el procés d'aprenentatge </w:t>
      </w:r>
      <w:r>
        <w:t>(7,08).</w:t>
      </w:r>
    </w:p>
    <w:p w:rsidR="0027107C" w:rsidRDefault="00CF691C" w:rsidP="00302662">
      <w:pPr>
        <w:jc w:val="both"/>
      </w:pPr>
      <w:r>
        <w:t xml:space="preserve">Aquest ordre en les valoracions es reprodueix en pràcticament totes les UCA i tots els graus, i cada trimestre. Tot i que, com es pot observar, la participació ha disminuït </w:t>
      </w:r>
      <w:r w:rsidR="009570DB">
        <w:t xml:space="preserve">en més de cinc punts percentuals cada trimestre, passant </w:t>
      </w:r>
      <w:r w:rsidR="008850C7">
        <w:t xml:space="preserve">del 30% el primer trimestre, al 16%, el tercer. </w:t>
      </w:r>
    </w:p>
    <w:p w:rsidR="00CA4020" w:rsidRDefault="00CA4020" w:rsidP="00302662">
      <w:pPr>
        <w:jc w:val="both"/>
      </w:pPr>
    </w:p>
    <w:p w:rsidR="00CA4020" w:rsidRDefault="00CA4020" w:rsidP="00302662">
      <w:pPr>
        <w:jc w:val="both"/>
      </w:pPr>
    </w:p>
    <w:p w:rsidR="00CA4020" w:rsidRDefault="00CA4020" w:rsidP="00302662">
      <w:pPr>
        <w:jc w:val="both"/>
      </w:pPr>
    </w:p>
    <w:p w:rsidR="00CA4020" w:rsidRDefault="00CA4020" w:rsidP="00302662">
      <w:pPr>
        <w:jc w:val="both"/>
      </w:pPr>
    </w:p>
    <w:p w:rsidR="00CA4020" w:rsidRDefault="00CA4020" w:rsidP="00C90102">
      <w:pPr>
        <w:ind w:hanging="284"/>
        <w:jc w:val="both"/>
      </w:pPr>
      <w:r w:rsidRPr="00CA4020">
        <w:rPr>
          <w:noProof/>
          <w:lang w:val="es-ES" w:eastAsia="es-ES"/>
        </w:rPr>
        <w:lastRenderedPageBreak/>
        <w:drawing>
          <wp:inline distT="0" distB="0" distL="0" distR="0">
            <wp:extent cx="6641948" cy="7010400"/>
            <wp:effectExtent l="0" t="0" r="6985" b="0"/>
            <wp:docPr id="6" name="Imat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56548" cy="7025810"/>
                    </a:xfrm>
                    <a:prstGeom prst="rect">
                      <a:avLst/>
                    </a:prstGeom>
                    <a:noFill/>
                    <a:ln>
                      <a:noFill/>
                    </a:ln>
                  </pic:spPr>
                </pic:pic>
              </a:graphicData>
            </a:graphic>
          </wp:inline>
        </w:drawing>
      </w:r>
    </w:p>
    <w:p w:rsidR="00CA4020" w:rsidRDefault="00CA4020" w:rsidP="00C90102">
      <w:pPr>
        <w:ind w:hanging="284"/>
        <w:jc w:val="center"/>
      </w:pPr>
      <w:r w:rsidRPr="00CA4020">
        <w:rPr>
          <w:noProof/>
          <w:lang w:val="es-ES" w:eastAsia="es-ES"/>
        </w:rPr>
        <w:lastRenderedPageBreak/>
        <w:drawing>
          <wp:inline distT="0" distB="0" distL="0" distR="0">
            <wp:extent cx="6513415" cy="7629525"/>
            <wp:effectExtent l="0" t="0" r="1905" b="0"/>
            <wp:docPr id="8" name="Imat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26571" cy="7644936"/>
                    </a:xfrm>
                    <a:prstGeom prst="rect">
                      <a:avLst/>
                    </a:prstGeom>
                    <a:noFill/>
                    <a:ln>
                      <a:noFill/>
                    </a:ln>
                  </pic:spPr>
                </pic:pic>
              </a:graphicData>
            </a:graphic>
          </wp:inline>
        </w:drawing>
      </w:r>
    </w:p>
    <w:p w:rsidR="003853B8" w:rsidRDefault="003853B8">
      <w:pPr>
        <w:spacing w:after="0" w:line="240" w:lineRule="auto"/>
      </w:pPr>
    </w:p>
    <w:p w:rsidR="003853B8" w:rsidRDefault="003853B8">
      <w:pPr>
        <w:spacing w:after="0" w:line="240" w:lineRule="auto"/>
      </w:pPr>
    </w:p>
    <w:p w:rsidR="003853B8" w:rsidRDefault="003853B8">
      <w:pPr>
        <w:spacing w:after="0" w:line="240" w:lineRule="auto"/>
      </w:pPr>
    </w:p>
    <w:p w:rsidR="003853B8" w:rsidRDefault="003853B8">
      <w:pPr>
        <w:spacing w:after="0" w:line="240" w:lineRule="auto"/>
      </w:pPr>
    </w:p>
    <w:p w:rsidR="003853B8" w:rsidRDefault="003853B8">
      <w:pPr>
        <w:spacing w:after="0" w:line="240" w:lineRule="auto"/>
      </w:pPr>
    </w:p>
    <w:p w:rsidR="003853B8" w:rsidRDefault="003853B8">
      <w:pPr>
        <w:spacing w:after="0" w:line="240" w:lineRule="auto"/>
      </w:pPr>
    </w:p>
    <w:p w:rsidR="003853B8" w:rsidRDefault="003853B8">
      <w:pPr>
        <w:spacing w:after="0" w:line="240" w:lineRule="auto"/>
      </w:pPr>
    </w:p>
    <w:p w:rsidR="003853B8" w:rsidRDefault="003853B8">
      <w:pPr>
        <w:spacing w:after="0" w:line="240" w:lineRule="auto"/>
      </w:pPr>
    </w:p>
    <w:p w:rsidR="003853B8" w:rsidRDefault="003853B8">
      <w:pPr>
        <w:spacing w:after="0" w:line="240" w:lineRule="auto"/>
      </w:pPr>
    </w:p>
    <w:p w:rsidR="00DF1844" w:rsidRDefault="003853B8" w:rsidP="003853B8">
      <w:pPr>
        <w:spacing w:after="0" w:line="240" w:lineRule="auto"/>
        <w:jc w:val="both"/>
      </w:pPr>
      <w:r>
        <w:t xml:space="preserve">En el cas dels màsters la situació és molt similar a la dels graus, si bé amb valoracions lleugerament més elevades. </w:t>
      </w:r>
    </w:p>
    <w:p w:rsidR="00DF1844" w:rsidRDefault="00DF1844" w:rsidP="003853B8">
      <w:pPr>
        <w:spacing w:after="0" w:line="240" w:lineRule="auto"/>
        <w:jc w:val="both"/>
      </w:pPr>
    </w:p>
    <w:p w:rsidR="003853B8" w:rsidRDefault="003853B8" w:rsidP="003853B8">
      <w:pPr>
        <w:spacing w:after="0" w:line="240" w:lineRule="auto"/>
        <w:jc w:val="both"/>
      </w:pPr>
      <w:r>
        <w:t xml:space="preserve">La participació </w:t>
      </w:r>
      <w:r w:rsidR="00692E01">
        <w:t xml:space="preserve">global </w:t>
      </w:r>
      <w:r>
        <w:t>se situa en el 30% excepte en el tercer trimestre que cau fins a un 15%</w:t>
      </w:r>
      <w:r w:rsidR="00EB103D">
        <w:t>. Cal destacar l’elevada participació a les UCA de Comunicació i de Traducció i Ciències del Llenguatge, propera al 50%, i en alguns màsters superior fins i tot al 60%</w:t>
      </w:r>
      <w:r>
        <w:t>.</w:t>
      </w:r>
    </w:p>
    <w:p w:rsidR="003853B8" w:rsidRDefault="003853B8" w:rsidP="003853B8">
      <w:pPr>
        <w:spacing w:after="0" w:line="240" w:lineRule="auto"/>
        <w:jc w:val="both"/>
      </w:pPr>
    </w:p>
    <w:p w:rsidR="003853B8" w:rsidRDefault="003853B8" w:rsidP="003853B8">
      <w:pPr>
        <w:spacing w:after="0" w:line="240" w:lineRule="auto"/>
        <w:jc w:val="both"/>
      </w:pPr>
      <w:r>
        <w:t xml:space="preserve">En molts màsters es dedica el tercer trimestre a fer el TFM, per això no hi ha valoració de la docència per aquest període. </w:t>
      </w:r>
    </w:p>
    <w:p w:rsidR="00DF1844" w:rsidRDefault="00DF1844" w:rsidP="003853B8">
      <w:pPr>
        <w:spacing w:after="0" w:line="240" w:lineRule="auto"/>
        <w:jc w:val="both"/>
      </w:pPr>
    </w:p>
    <w:p w:rsidR="00DF1844" w:rsidRDefault="00DF1844" w:rsidP="003853B8">
      <w:pPr>
        <w:spacing w:after="0" w:line="240" w:lineRule="auto"/>
        <w:jc w:val="both"/>
      </w:pPr>
    </w:p>
    <w:p w:rsidR="003853B8" w:rsidRDefault="003853B8">
      <w:pPr>
        <w:spacing w:after="0" w:line="240" w:lineRule="auto"/>
      </w:pPr>
    </w:p>
    <w:p w:rsidR="003853B8" w:rsidRDefault="003853B8" w:rsidP="003853B8">
      <w:pPr>
        <w:spacing w:after="0" w:line="240" w:lineRule="auto"/>
        <w:ind w:hanging="284"/>
      </w:pPr>
      <w:r w:rsidRPr="003853B8">
        <w:rPr>
          <w:noProof/>
          <w:lang w:val="es-ES" w:eastAsia="es-ES"/>
        </w:rPr>
        <w:drawing>
          <wp:inline distT="0" distB="0" distL="0" distR="0">
            <wp:extent cx="6482364" cy="6115792"/>
            <wp:effectExtent l="0" t="0" r="0" b="0"/>
            <wp:docPr id="2"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88099" cy="6121203"/>
                    </a:xfrm>
                    <a:prstGeom prst="rect">
                      <a:avLst/>
                    </a:prstGeom>
                    <a:noFill/>
                    <a:ln>
                      <a:noFill/>
                    </a:ln>
                  </pic:spPr>
                </pic:pic>
              </a:graphicData>
            </a:graphic>
          </wp:inline>
        </w:drawing>
      </w:r>
    </w:p>
    <w:p w:rsidR="003853B8" w:rsidRDefault="003853B8" w:rsidP="003853B8">
      <w:pPr>
        <w:spacing w:after="0" w:line="240" w:lineRule="auto"/>
        <w:ind w:hanging="284"/>
      </w:pPr>
    </w:p>
    <w:p w:rsidR="00CA4020" w:rsidRDefault="00692E01" w:rsidP="003853B8">
      <w:pPr>
        <w:spacing w:after="0" w:line="240" w:lineRule="auto"/>
        <w:ind w:hanging="284"/>
      </w:pPr>
      <w:r w:rsidRPr="00692E01">
        <w:rPr>
          <w:noProof/>
          <w:lang w:val="es-ES" w:eastAsia="es-ES"/>
        </w:rPr>
        <w:lastRenderedPageBreak/>
        <w:drawing>
          <wp:inline distT="0" distB="0" distL="0" distR="0">
            <wp:extent cx="6531429" cy="6787338"/>
            <wp:effectExtent l="0" t="0" r="3175" b="0"/>
            <wp:docPr id="11" name="Imat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37716" cy="6793872"/>
                    </a:xfrm>
                    <a:prstGeom prst="rect">
                      <a:avLst/>
                    </a:prstGeom>
                    <a:noFill/>
                    <a:ln>
                      <a:noFill/>
                    </a:ln>
                  </pic:spPr>
                </pic:pic>
              </a:graphicData>
            </a:graphic>
          </wp:inline>
        </w:drawing>
      </w:r>
      <w:r w:rsidR="00CA4020">
        <w:br w:type="page"/>
      </w:r>
    </w:p>
    <w:p w:rsidR="00CA4020" w:rsidRDefault="00CA4020" w:rsidP="00302662">
      <w:pPr>
        <w:jc w:val="both"/>
      </w:pPr>
      <w:r>
        <w:lastRenderedPageBreak/>
        <w:t xml:space="preserve">A la taula </w:t>
      </w:r>
      <w:r w:rsidR="003853B8">
        <w:t>3</w:t>
      </w:r>
      <w:r>
        <w:t xml:space="preserve"> veiem els resultats obtinguts </w:t>
      </w:r>
      <w:r w:rsidR="006142B7">
        <w:t xml:space="preserve">globalment a la UPF </w:t>
      </w:r>
      <w:r>
        <w:t>en les valoracions de les preguntes referides a les assignatures dels últims tres cursos. Com es pot apreciar, i en la línia del què apuntàvem més amunt, tot i que la participació disminueix les valoracions presenten poques diferències i totes se situen entre el 7 i el 8</w:t>
      </w:r>
      <w:r w:rsidR="00EB103D">
        <w:t xml:space="preserve"> en el cas dels graus, i entre el 8 i el 9 en el dels màsters</w:t>
      </w:r>
      <w:r>
        <w:t xml:space="preserve">. </w:t>
      </w:r>
    </w:p>
    <w:p w:rsidR="003853B8" w:rsidRDefault="00046DFB" w:rsidP="00EB103D">
      <w:pPr>
        <w:jc w:val="center"/>
      </w:pPr>
      <w:r w:rsidRPr="00046DFB">
        <w:rPr>
          <w:noProof/>
          <w:lang w:val="es-ES" w:eastAsia="es-ES"/>
        </w:rPr>
        <w:drawing>
          <wp:inline distT="0" distB="0" distL="0" distR="0">
            <wp:extent cx="4915090" cy="2027016"/>
            <wp:effectExtent l="0" t="0" r="0" b="0"/>
            <wp:docPr id="25" name="Imat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20271" cy="2029152"/>
                    </a:xfrm>
                    <a:prstGeom prst="rect">
                      <a:avLst/>
                    </a:prstGeom>
                    <a:noFill/>
                    <a:ln>
                      <a:noFill/>
                    </a:ln>
                  </pic:spPr>
                </pic:pic>
              </a:graphicData>
            </a:graphic>
          </wp:inline>
        </w:drawing>
      </w:r>
    </w:p>
    <w:p w:rsidR="004929B0" w:rsidRDefault="001E612F" w:rsidP="00302662">
      <w:pPr>
        <w:jc w:val="both"/>
      </w:pPr>
      <w:r>
        <w:t xml:space="preserve">Si bé la </w:t>
      </w:r>
      <w:r w:rsidR="004929B0">
        <w:t xml:space="preserve">major part de les valoracions són de notable, </w:t>
      </w:r>
      <w:r w:rsidR="00EB103D">
        <w:t xml:space="preserve">als graus </w:t>
      </w:r>
      <w:r w:rsidR="004929B0">
        <w:t>hi ha un 10% de les assignatures i un 8% dels professors que reben valoracions inferiors al 5.</w:t>
      </w:r>
    </w:p>
    <w:p w:rsidR="00EB103D" w:rsidRDefault="004929B0" w:rsidP="00EB103D">
      <w:pPr>
        <w:jc w:val="both"/>
      </w:pPr>
      <w:r>
        <w:t xml:space="preserve">A la taula </w:t>
      </w:r>
      <w:r w:rsidR="00EB103D">
        <w:t>4</w:t>
      </w:r>
      <w:r>
        <w:t xml:space="preserve"> es pot veure per a cadascuna de les UCA i dels graus el % d’assignatures i professors valorats per sota del 5 en relació al total de valoracions fetes. </w:t>
      </w:r>
    </w:p>
    <w:p w:rsidR="00CA4020" w:rsidRDefault="00B56A8F" w:rsidP="00EB103D">
      <w:pPr>
        <w:jc w:val="center"/>
        <w:rPr>
          <w:b/>
        </w:rPr>
      </w:pPr>
      <w:r w:rsidRPr="00B56A8F">
        <w:rPr>
          <w:noProof/>
          <w:lang w:val="es-ES" w:eastAsia="es-ES"/>
        </w:rPr>
        <w:drawing>
          <wp:inline distT="0" distB="0" distL="0" distR="0">
            <wp:extent cx="4566063" cy="4532046"/>
            <wp:effectExtent l="0" t="0" r="6350" b="1905"/>
            <wp:docPr id="17" name="Imat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69383" cy="4535342"/>
                    </a:xfrm>
                    <a:prstGeom prst="rect">
                      <a:avLst/>
                    </a:prstGeom>
                    <a:noFill/>
                    <a:ln>
                      <a:noFill/>
                    </a:ln>
                  </pic:spPr>
                </pic:pic>
              </a:graphicData>
            </a:graphic>
          </wp:inline>
        </w:drawing>
      </w:r>
    </w:p>
    <w:p w:rsidR="008D6003" w:rsidRDefault="008D6003" w:rsidP="00B56A8F">
      <w:pPr>
        <w:jc w:val="both"/>
      </w:pPr>
    </w:p>
    <w:p w:rsidR="00B56A8F" w:rsidRPr="00B56A8F" w:rsidRDefault="00B56A8F" w:rsidP="00B56A8F">
      <w:pPr>
        <w:jc w:val="both"/>
      </w:pPr>
      <w:r w:rsidRPr="00B56A8F">
        <w:lastRenderedPageBreak/>
        <w:t>En el cas dels màsters</w:t>
      </w:r>
      <w:r>
        <w:t xml:space="preserve"> les valoracions per sota el 5 suposen el 5% de les valoracions referides a les assignatures i el 3,6% de les referides al PDI.</w:t>
      </w:r>
    </w:p>
    <w:p w:rsidR="00B56A8F" w:rsidRDefault="00B56A8F" w:rsidP="00EB103D">
      <w:pPr>
        <w:jc w:val="center"/>
        <w:rPr>
          <w:b/>
        </w:rPr>
      </w:pPr>
      <w:r w:rsidRPr="00B56A8F">
        <w:rPr>
          <w:noProof/>
          <w:lang w:val="es-ES" w:eastAsia="es-ES"/>
        </w:rPr>
        <w:drawing>
          <wp:inline distT="0" distB="0" distL="0" distR="0">
            <wp:extent cx="5760085" cy="1980476"/>
            <wp:effectExtent l="0" t="0" r="0" b="1270"/>
            <wp:docPr id="18" name="Imat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085" cy="1980476"/>
                    </a:xfrm>
                    <a:prstGeom prst="rect">
                      <a:avLst/>
                    </a:prstGeom>
                    <a:noFill/>
                    <a:ln>
                      <a:noFill/>
                    </a:ln>
                  </pic:spPr>
                </pic:pic>
              </a:graphicData>
            </a:graphic>
          </wp:inline>
        </w:drawing>
      </w:r>
    </w:p>
    <w:p w:rsidR="00B56A8F" w:rsidRDefault="00B56A8F" w:rsidP="00B56A8F">
      <w:pPr>
        <w:jc w:val="both"/>
      </w:pPr>
      <w:r>
        <w:t xml:space="preserve">A l’AVALDO es pot extreure un llistat amb la informació detallada de les valoracions inferiors a 5 per tal que els responsables acadèmics puguin actuar de cara a corregir la situació.  </w:t>
      </w:r>
    </w:p>
    <w:p w:rsidR="00B56A8F" w:rsidRDefault="00B56A8F" w:rsidP="00EB103D">
      <w:pPr>
        <w:jc w:val="center"/>
        <w:rPr>
          <w:b/>
        </w:rPr>
      </w:pPr>
    </w:p>
    <w:p w:rsidR="00A3285A" w:rsidRPr="001C6905" w:rsidRDefault="00A54935" w:rsidP="001C6905">
      <w:pPr>
        <w:numPr>
          <w:ilvl w:val="0"/>
          <w:numId w:val="15"/>
        </w:numPr>
        <w:tabs>
          <w:tab w:val="left" w:pos="284"/>
        </w:tabs>
        <w:ind w:left="142" w:hanging="142"/>
        <w:jc w:val="both"/>
        <w:rPr>
          <w:b/>
          <w:color w:val="C00000"/>
        </w:rPr>
      </w:pPr>
      <w:r>
        <w:rPr>
          <w:b/>
          <w:color w:val="C00000"/>
        </w:rPr>
        <w:t xml:space="preserve">Participació i </w:t>
      </w:r>
      <w:r w:rsidR="001C6905">
        <w:rPr>
          <w:b/>
          <w:color w:val="C00000"/>
        </w:rPr>
        <w:t>Í</w:t>
      </w:r>
      <w:r w:rsidR="00A3285A" w:rsidRPr="001C6905">
        <w:rPr>
          <w:b/>
          <w:color w:val="C00000"/>
        </w:rPr>
        <w:t>ndex de fiabilitat</w:t>
      </w:r>
    </w:p>
    <w:p w:rsidR="003B0E95" w:rsidRDefault="003B0E95" w:rsidP="001C6905">
      <w:pPr>
        <w:jc w:val="both"/>
      </w:pPr>
      <w:r>
        <w:t xml:space="preserve">Com s’ha vist, els últims anys la participació a les enquestes AVALDO als graus ha anat disminuint, passant de percentatges al voltant del 30% a percentatges del 20%. La davallada en la participació és un aspecte que preocupa molt ja que treu legitimitat i, en conseqüència, valor als resultats de les enquestes. </w:t>
      </w:r>
    </w:p>
    <w:p w:rsidR="00A3285A" w:rsidRPr="001C6905" w:rsidRDefault="003B0E95" w:rsidP="001C6905">
      <w:pPr>
        <w:jc w:val="both"/>
      </w:pPr>
      <w:r>
        <w:t xml:space="preserve">Amb la voluntat </w:t>
      </w:r>
      <w:r w:rsidR="00EB07E7">
        <w:t>de revertir aque</w:t>
      </w:r>
      <w:r w:rsidR="00E11EFA">
        <w:t>s</w:t>
      </w:r>
      <w:r w:rsidR="00EB07E7">
        <w:t xml:space="preserve">ta situació i </w:t>
      </w:r>
      <w:r w:rsidR="00A3285A" w:rsidRPr="001C6905">
        <w:t xml:space="preserve">d’introduir un element més de qualitat a l’AVALDO, </w:t>
      </w:r>
      <w:r w:rsidR="001C6905">
        <w:t xml:space="preserve">als resultats de les valoracions </w:t>
      </w:r>
      <w:r w:rsidR="001C6905" w:rsidRPr="001C6905">
        <w:t xml:space="preserve">s’ha incorporat un </w:t>
      </w:r>
      <w:r w:rsidR="00A3285A" w:rsidRPr="001C6905">
        <w:rPr>
          <w:b/>
          <w:bCs/>
        </w:rPr>
        <w:t>índex de fiabilitat</w:t>
      </w:r>
      <w:r w:rsidR="00A3285A" w:rsidRPr="001C6905">
        <w:t xml:space="preserve">. </w:t>
      </w:r>
      <w:r w:rsidR="001C6905" w:rsidRPr="001C6905">
        <w:t>Es tracta</w:t>
      </w:r>
      <w:r w:rsidR="00A3285A" w:rsidRPr="001C6905">
        <w:t xml:space="preserve"> </w:t>
      </w:r>
      <w:r w:rsidR="001C6905" w:rsidRPr="001C6905">
        <w:t>d’</w:t>
      </w:r>
      <w:r w:rsidR="00A3285A" w:rsidRPr="001C6905">
        <w:t xml:space="preserve">un càlcul que té en compte la dimensió del grup i els participants a l’enquesta. La fiabilitat de les valoracions es classifica en MOLT ALTA, ALTA, NORMAL, BAIXA i MOLT BAIXA. </w:t>
      </w:r>
      <w:r w:rsidR="00EB07E7">
        <w:t xml:space="preserve">Amb aquest índex d’una banda sabem la fiabilitat estadística de la valoració donada, i, d’altra banda, posem en valor la importància de la participació en les enquestes esperant que d’aquesta manera s’incrementi la participació.  </w:t>
      </w:r>
    </w:p>
    <w:p w:rsidR="00C90102" w:rsidRDefault="00A3285A" w:rsidP="00A3285A">
      <w:pPr>
        <w:jc w:val="both"/>
      </w:pPr>
      <w:r>
        <w:t xml:space="preserve">A </w:t>
      </w:r>
      <w:r w:rsidR="00C66CBB">
        <w:t xml:space="preserve">la </w:t>
      </w:r>
      <w:r>
        <w:t>taul</w:t>
      </w:r>
      <w:r w:rsidR="00C66CBB">
        <w:t xml:space="preserve">a </w:t>
      </w:r>
      <w:r w:rsidR="00B56A8F">
        <w:t>6</w:t>
      </w:r>
      <w:r>
        <w:t xml:space="preserve"> </w:t>
      </w:r>
      <w:r w:rsidR="005D55F2">
        <w:t>es pot veure</w:t>
      </w:r>
      <w:r>
        <w:t xml:space="preserve"> l’impacte que ha tingut aquest índex </w:t>
      </w:r>
      <w:r w:rsidR="00C66CBB">
        <w:t>en</w:t>
      </w:r>
      <w:r>
        <w:t xml:space="preserve"> les valoracions </w:t>
      </w:r>
      <w:r w:rsidR="00B56A8F">
        <w:t>referides a</w:t>
      </w:r>
      <w:r>
        <w:t xml:space="preserve">ls professors que han impartit docència durant el </w:t>
      </w:r>
      <w:r w:rsidR="00C66CBB">
        <w:t xml:space="preserve">curs 2020-2021. </w:t>
      </w:r>
      <w:r w:rsidR="00B56A8F">
        <w:t>S’observa que e</w:t>
      </w:r>
      <w:r w:rsidR="00C66CBB">
        <w:t xml:space="preserve">n </w:t>
      </w:r>
      <w:r>
        <w:t xml:space="preserve">totes les valoracions fetes a la docència impartida pel professorat als </w:t>
      </w:r>
      <w:r w:rsidR="00C66CBB">
        <w:t>graus al llarg del curs</w:t>
      </w:r>
      <w:r>
        <w:t xml:space="preserve"> el </w:t>
      </w:r>
      <w:r w:rsidR="00C66CBB">
        <w:t>38,4</w:t>
      </w:r>
      <w:r>
        <w:t>% de les valoracions tenen un índex de fiabilitat MOLT BAIXA o BAIXA</w:t>
      </w:r>
      <w:r w:rsidR="00C66CBB">
        <w:t>, e</w:t>
      </w:r>
      <w:r>
        <w:t xml:space="preserve">n el </w:t>
      </w:r>
      <w:r w:rsidR="00C66CBB">
        <w:t>45,3</w:t>
      </w:r>
      <w:r>
        <w:t xml:space="preserve">% de les valoracions la fiabilitat és NORMAL, i en </w:t>
      </w:r>
      <w:r w:rsidR="00C66CBB">
        <w:t>e</w:t>
      </w:r>
      <w:r>
        <w:t>l</w:t>
      </w:r>
      <w:r w:rsidR="00C66CBB">
        <w:t xml:space="preserve"> </w:t>
      </w:r>
      <w:r>
        <w:t>1</w:t>
      </w:r>
      <w:r w:rsidR="00C66CBB">
        <w:t>6,3%</w:t>
      </w:r>
      <w:r>
        <w:t>, ALTA</w:t>
      </w:r>
      <w:r w:rsidR="00C66CBB">
        <w:t xml:space="preserve"> o MOLT ALTA</w:t>
      </w:r>
      <w:r>
        <w:t xml:space="preserve">. </w:t>
      </w:r>
    </w:p>
    <w:p w:rsidR="00F76B3D" w:rsidRDefault="00F76B3D" w:rsidP="00F76B3D">
      <w:pPr>
        <w:jc w:val="both"/>
      </w:pPr>
      <w:r>
        <w:t>Al llarg dels trimestres, com a conseqüència de la disminució en la participació, ha augmentat de forma significativa el percentatge de valoracions amb un índex de fiabilitat MOLT BAIX o BAIX, passant del 24% el primer trimestre al 54% el tercer.</w:t>
      </w:r>
    </w:p>
    <w:p w:rsidR="00F76B3D" w:rsidRDefault="00F76B3D" w:rsidP="00F76B3D">
      <w:pPr>
        <w:jc w:val="center"/>
      </w:pPr>
      <w:r>
        <w:rPr>
          <w:noProof/>
          <w:lang w:val="es-ES" w:eastAsia="es-ES"/>
        </w:rPr>
        <w:drawing>
          <wp:inline distT="0" distB="0" distL="0" distR="0" wp14:anchorId="5FDDCD3A">
            <wp:extent cx="5262541" cy="1360904"/>
            <wp:effectExtent l="0" t="0" r="0" b="0"/>
            <wp:docPr id="20" name="Imat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69637" cy="1362739"/>
                    </a:xfrm>
                    <a:prstGeom prst="rect">
                      <a:avLst/>
                    </a:prstGeom>
                    <a:noFill/>
                  </pic:spPr>
                </pic:pic>
              </a:graphicData>
            </a:graphic>
          </wp:inline>
        </w:drawing>
      </w:r>
    </w:p>
    <w:p w:rsidR="00C90102" w:rsidRDefault="00F76B3D" w:rsidP="004D66CC">
      <w:pPr>
        <w:jc w:val="center"/>
      </w:pPr>
      <w:r w:rsidRPr="00F76B3D">
        <w:rPr>
          <w:noProof/>
          <w:lang w:val="es-ES" w:eastAsia="es-ES"/>
        </w:rPr>
        <w:lastRenderedPageBreak/>
        <w:drawing>
          <wp:inline distT="0" distB="0" distL="0" distR="0">
            <wp:extent cx="5760085" cy="6171548"/>
            <wp:effectExtent l="0" t="0" r="0" b="1270"/>
            <wp:docPr id="19" name="Imat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085" cy="6171548"/>
                    </a:xfrm>
                    <a:prstGeom prst="rect">
                      <a:avLst/>
                    </a:prstGeom>
                    <a:noFill/>
                    <a:ln>
                      <a:noFill/>
                    </a:ln>
                  </pic:spPr>
                </pic:pic>
              </a:graphicData>
            </a:graphic>
          </wp:inline>
        </w:drawing>
      </w:r>
    </w:p>
    <w:p w:rsidR="0080242E" w:rsidRDefault="0080242E" w:rsidP="0080242E">
      <w:pPr>
        <w:jc w:val="both"/>
      </w:pPr>
    </w:p>
    <w:p w:rsidR="0080242E" w:rsidRDefault="0080242E" w:rsidP="0080242E">
      <w:pPr>
        <w:jc w:val="both"/>
      </w:pPr>
      <w:r>
        <w:t xml:space="preserve">En el cas dels màsters, si bé la participació és lleugerament més elevada que en els graus, veiem que </w:t>
      </w:r>
      <w:r w:rsidR="00E010F7">
        <w:t xml:space="preserve">més del 60% </w:t>
      </w:r>
      <w:r>
        <w:t xml:space="preserve">de les valoracions </w:t>
      </w:r>
      <w:r w:rsidR="00E010F7">
        <w:t xml:space="preserve">referides al PDI </w:t>
      </w:r>
      <w:r>
        <w:t>del primer tenen un índex de fiabilitat baix o molt baix,</w:t>
      </w:r>
      <w:r w:rsidR="00E010F7">
        <w:t xml:space="preserve"> i que aquest </w:t>
      </w:r>
      <w:r>
        <w:t xml:space="preserve">percentatge s’eleva per sobre el 90% el tercer trimestre. </w:t>
      </w:r>
    </w:p>
    <w:p w:rsidR="005D55F2" w:rsidRDefault="00E010F7" w:rsidP="00E010F7">
      <w:pPr>
        <w:jc w:val="center"/>
      </w:pPr>
      <w:r>
        <w:rPr>
          <w:noProof/>
          <w:lang w:val="es-ES" w:eastAsia="es-ES"/>
        </w:rPr>
        <w:drawing>
          <wp:inline distT="0" distB="0" distL="0" distR="0" wp14:anchorId="22C25B72">
            <wp:extent cx="5828889" cy="1511550"/>
            <wp:effectExtent l="0" t="0" r="635" b="0"/>
            <wp:docPr id="24" name="Imat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834605" cy="1513032"/>
                    </a:xfrm>
                    <a:prstGeom prst="rect">
                      <a:avLst/>
                    </a:prstGeom>
                    <a:noFill/>
                  </pic:spPr>
                </pic:pic>
              </a:graphicData>
            </a:graphic>
          </wp:inline>
        </w:drawing>
      </w:r>
    </w:p>
    <w:p w:rsidR="002F034F" w:rsidRDefault="002F034F" w:rsidP="00A3285A">
      <w:pPr>
        <w:jc w:val="both"/>
      </w:pPr>
    </w:p>
    <w:p w:rsidR="0080242E" w:rsidRDefault="0080242E" w:rsidP="0080242E">
      <w:pPr>
        <w:jc w:val="both"/>
      </w:pPr>
      <w:r>
        <w:lastRenderedPageBreak/>
        <w:t xml:space="preserve">Això és així perquè tal com està concebut, l’índex de fiabilitat està determinat bàsicament pel grau de participació a les valoracions, i a grans trets es pot dir que amb una participació superior a 10 estudiants i/o un percentatge de participació superior al 12%, la fiabilitat de la valoració serà NORMAL. Assolir com a mínim aquest percentatge de participació hauria de ser un objectiu assumible i fàcilment assequible en els graus, però en els màsters, els grups dels quals en la majoria de casos són molt reduïts, arribar a que valorin 10 estudiants o més no </w:t>
      </w:r>
      <w:r w:rsidR="00C341BA">
        <w:t>és senzill.</w:t>
      </w:r>
    </w:p>
    <w:p w:rsidR="00C341BA" w:rsidRPr="00113BBB" w:rsidRDefault="00C341BA" w:rsidP="0080242E">
      <w:pPr>
        <w:jc w:val="both"/>
      </w:pPr>
    </w:p>
    <w:p w:rsidR="002F034F" w:rsidRDefault="00E010F7" w:rsidP="00E010F7">
      <w:pPr>
        <w:jc w:val="center"/>
      </w:pPr>
      <w:r w:rsidRPr="00E010F7">
        <w:rPr>
          <w:noProof/>
          <w:lang w:val="es-ES" w:eastAsia="es-ES"/>
        </w:rPr>
        <w:drawing>
          <wp:inline distT="0" distB="0" distL="0" distR="0">
            <wp:extent cx="5760085" cy="4786327"/>
            <wp:effectExtent l="0" t="0" r="0" b="0"/>
            <wp:docPr id="23" name="Imat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085" cy="4786327"/>
                    </a:xfrm>
                    <a:prstGeom prst="rect">
                      <a:avLst/>
                    </a:prstGeom>
                    <a:noFill/>
                    <a:ln>
                      <a:noFill/>
                    </a:ln>
                  </pic:spPr>
                </pic:pic>
              </a:graphicData>
            </a:graphic>
          </wp:inline>
        </w:drawing>
      </w:r>
    </w:p>
    <w:p w:rsidR="002F034F" w:rsidRDefault="002F034F" w:rsidP="00A3285A">
      <w:pPr>
        <w:jc w:val="both"/>
      </w:pPr>
    </w:p>
    <w:p w:rsidR="00302662" w:rsidRDefault="00302662" w:rsidP="000D4610">
      <w:pPr>
        <w:spacing w:after="0" w:line="240" w:lineRule="auto"/>
        <w:jc w:val="both"/>
      </w:pPr>
    </w:p>
    <w:p w:rsidR="00302662" w:rsidRDefault="00302662" w:rsidP="00302662">
      <w:pPr>
        <w:tabs>
          <w:tab w:val="left" w:pos="3785"/>
        </w:tabs>
        <w:spacing w:after="0" w:line="240" w:lineRule="auto"/>
        <w:jc w:val="both"/>
      </w:pPr>
    </w:p>
    <w:p w:rsidR="000B72F8" w:rsidRDefault="000B72F8" w:rsidP="00141130">
      <w:pPr>
        <w:tabs>
          <w:tab w:val="left" w:pos="3785"/>
        </w:tabs>
        <w:spacing w:after="0" w:line="240" w:lineRule="auto"/>
        <w:ind w:hanging="993"/>
        <w:jc w:val="both"/>
      </w:pPr>
    </w:p>
    <w:p w:rsidR="007832C5" w:rsidRDefault="007832C5" w:rsidP="00302662">
      <w:pPr>
        <w:tabs>
          <w:tab w:val="left" w:pos="3785"/>
        </w:tabs>
        <w:spacing w:after="0" w:line="240" w:lineRule="auto"/>
        <w:jc w:val="both"/>
      </w:pPr>
    </w:p>
    <w:p w:rsidR="00D117A5" w:rsidRDefault="00AD6154" w:rsidP="00302662">
      <w:pPr>
        <w:spacing w:after="0" w:line="240" w:lineRule="auto"/>
        <w:jc w:val="center"/>
      </w:pPr>
      <w:r w:rsidRPr="00302662">
        <w:br w:type="page"/>
      </w:r>
    </w:p>
    <w:p w:rsidR="00BA4E6C" w:rsidRPr="008D6003" w:rsidRDefault="00BA4E6C" w:rsidP="00BA4E6C">
      <w:pPr>
        <w:pStyle w:val="Ttol1"/>
        <w:rPr>
          <w:rFonts w:asciiTheme="minorHAnsi" w:hAnsiTheme="minorHAnsi" w:cstheme="minorHAnsi"/>
          <w:color w:val="C00000"/>
          <w:sz w:val="28"/>
          <w:szCs w:val="28"/>
        </w:rPr>
      </w:pPr>
      <w:bookmarkStart w:id="0" w:name="_GoBack"/>
      <w:bookmarkEnd w:id="0"/>
      <w:r w:rsidRPr="008D6003">
        <w:rPr>
          <w:rFonts w:asciiTheme="minorHAnsi" w:hAnsiTheme="minorHAnsi" w:cstheme="minorHAnsi"/>
          <w:color w:val="C00000"/>
          <w:sz w:val="28"/>
          <w:szCs w:val="28"/>
        </w:rPr>
        <w:lastRenderedPageBreak/>
        <w:t>Conclusions</w:t>
      </w:r>
    </w:p>
    <w:p w:rsidR="00046DFB" w:rsidRDefault="00046DFB" w:rsidP="00BA4E6C">
      <w:pPr>
        <w:jc w:val="both"/>
      </w:pPr>
      <w:r>
        <w:t>Els resultats de l’AVALDO el curs 2020-2021 per graus i màsters i la seva evolució al llarg dels tres últims cursos mostren unes valoracions molt estables entre el 7 i el 8 sobre 10 globalment pels graus, i una mica més elevades, entre 8 i 9, pels màsters.</w:t>
      </w:r>
    </w:p>
    <w:p w:rsidR="00D3482C" w:rsidRDefault="00046DFB" w:rsidP="00BA4E6C">
      <w:pPr>
        <w:jc w:val="both"/>
      </w:pPr>
      <w:r>
        <w:t xml:space="preserve">Els últims cursos la participació als graus ha anat </w:t>
      </w:r>
      <w:proofErr w:type="spellStart"/>
      <w:r>
        <w:t>disminuïnt</w:t>
      </w:r>
      <w:proofErr w:type="spellEnd"/>
      <w:r>
        <w:t>, situant-se en el 23% l’últim curs; mentre que la participació en els màsters s’ha anat incrementant fins a situar-se al 30%. Cal dir que hi ha grans diferències de participació entre les</w:t>
      </w:r>
      <w:r w:rsidR="00D3482C">
        <w:t xml:space="preserve"> diferents</w:t>
      </w:r>
      <w:r>
        <w:t xml:space="preserve"> UCA</w:t>
      </w:r>
      <w:r w:rsidR="00D3482C">
        <w:t xml:space="preserve">. A nivell de graus, l’UCA en Enginyeries i Tecnologies de la Informació i les Comunicacions té una participació propera al 30% mentre que a les UCA de Ciències de la Salut i de la Vida i Dret no arriba al 20%. </w:t>
      </w:r>
      <w:r w:rsidR="00E11EFA">
        <w:t xml:space="preserve">En el cas dels màsters és ales UCA de Comunicació i Traducció i Ciències del Llenguatge on hi ha la participació més elevada, propera al 50%; mentre que a la de Ciències Polítiques i Socials no arriba al 20%. </w:t>
      </w:r>
    </w:p>
    <w:p w:rsidR="005D55F2" w:rsidRDefault="00046DFB" w:rsidP="00BA4E6C">
      <w:pPr>
        <w:jc w:val="both"/>
      </w:pPr>
      <w:r>
        <w:t xml:space="preserve">Al llarg del curs la participació </w:t>
      </w:r>
      <w:r w:rsidR="00E11EFA">
        <w:t xml:space="preserve">va disminuint cada </w:t>
      </w:r>
      <w:r>
        <w:t xml:space="preserve">trimestre, tant a graus com a màsters. </w:t>
      </w:r>
    </w:p>
    <w:p w:rsidR="00046DFB" w:rsidRDefault="00046DFB" w:rsidP="00BA4E6C">
      <w:pPr>
        <w:jc w:val="both"/>
      </w:pPr>
      <w:r>
        <w:t>S’observa que la disminució de l</w:t>
      </w:r>
      <w:r w:rsidR="00E11EFA">
        <w:t>a</w:t>
      </w:r>
      <w:r>
        <w:t xml:space="preserve"> participació</w:t>
      </w:r>
      <w:r w:rsidR="00E11EFA">
        <w:t xml:space="preserve"> no implica una modificació en les valoracions.</w:t>
      </w:r>
    </w:p>
    <w:p w:rsidR="00E11EFA" w:rsidRDefault="00E11EFA" w:rsidP="00E11EFA">
      <w:pPr>
        <w:jc w:val="both"/>
      </w:pPr>
      <w:r>
        <w:t xml:space="preserve">Aquest curs, amb la voluntat de revertir la disminució de la participació i </w:t>
      </w:r>
      <w:r w:rsidRPr="001C6905">
        <w:t xml:space="preserve">d’introduir un element més de qualitat a l’AVALDO, </w:t>
      </w:r>
      <w:r>
        <w:t xml:space="preserve">als resultats de les valoracions </w:t>
      </w:r>
      <w:r w:rsidRPr="001C6905">
        <w:t xml:space="preserve">s’ha incorporat un </w:t>
      </w:r>
      <w:r w:rsidRPr="001C6905">
        <w:rPr>
          <w:b/>
          <w:bCs/>
        </w:rPr>
        <w:t>índex de fiabilitat</w:t>
      </w:r>
      <w:r w:rsidRPr="001C6905">
        <w:t xml:space="preserve">. Es tracta d’un càlcul que té en compte la dimensió del grup i els participants a l’enquesta. La fiabilitat de les valoracions es classifica en MOLT ALTA, ALTA, NORMAL, BAIXA i MOLT BAIXA. </w:t>
      </w:r>
      <w:r>
        <w:t xml:space="preserve">Amb aquest índex d’una banda sabem la fiabilitat estadística de la valoració donada, i, d’altra banda, posem en valor la importància de la participació en les enquestes esperant que d’aquesta manera s’incrementi la participació.  </w:t>
      </w:r>
    </w:p>
    <w:p w:rsidR="005B3370" w:rsidRDefault="00E11EFA" w:rsidP="005B3370">
      <w:pPr>
        <w:jc w:val="both"/>
      </w:pPr>
      <w:r>
        <w:t>L’aplicació de l’Índex de fiabilitat ens mostra que en prop del 40% de les valoracions referides al PDI de grau i en més del 50% de les referides al PDI de màster la fiabilitat dels resultats són baixos o molt baixos.</w:t>
      </w:r>
      <w:r w:rsidR="005B3370">
        <w:t xml:space="preserve"> Això és així perquè com ja s’apunta més amunt, amb una participació superior a 10 estudiants i/o un percentatge de participació superior al 12%, la fiabilitat de la valoració serà NORMAL, per sota és baixa o molt baixa.</w:t>
      </w:r>
    </w:p>
    <w:p w:rsidR="005B3370" w:rsidRDefault="005B3370" w:rsidP="005B3370">
      <w:pPr>
        <w:jc w:val="both"/>
      </w:pPr>
      <w:r>
        <w:t>Assolir com a mínim aquest percentatge de participació hauria de ser un objectiu assumible i fàcilment assequible en els graus, però en els màsters, els grups dels quals en la majoria de casos són molt reduïts, arribar a que valorin 10 estudiants o més no és senzill.</w:t>
      </w:r>
    </w:p>
    <w:p w:rsidR="00E11EFA" w:rsidRPr="001C6905" w:rsidRDefault="00E11EFA" w:rsidP="00E11EFA">
      <w:pPr>
        <w:jc w:val="both"/>
      </w:pPr>
      <w:r>
        <w:t xml:space="preserve"> </w:t>
      </w:r>
    </w:p>
    <w:p w:rsidR="00E11EFA" w:rsidRPr="00BA4E6C" w:rsidRDefault="00E11EFA" w:rsidP="00BA4E6C">
      <w:pPr>
        <w:jc w:val="both"/>
      </w:pPr>
    </w:p>
    <w:p w:rsidR="005D55F2" w:rsidRPr="00BA4E6C" w:rsidRDefault="005D55F2" w:rsidP="00BA4E6C">
      <w:pPr>
        <w:jc w:val="both"/>
      </w:pPr>
    </w:p>
    <w:p w:rsidR="005D55F2" w:rsidRDefault="005D55F2" w:rsidP="000B72F8">
      <w:pPr>
        <w:pStyle w:val="Ttol1"/>
        <w:rPr>
          <w:color w:val="C00000"/>
          <w:sz w:val="24"/>
          <w:szCs w:val="24"/>
        </w:rPr>
      </w:pPr>
    </w:p>
    <w:sectPr w:rsidR="005D55F2" w:rsidSect="00C90102">
      <w:headerReference w:type="default" r:id="rId20"/>
      <w:footerReference w:type="default" r:id="rId21"/>
      <w:pgSz w:w="11906" w:h="16838"/>
      <w:pgMar w:top="709" w:right="1701" w:bottom="993" w:left="1134" w:header="284" w:footer="18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634" w:rsidRDefault="001F3634" w:rsidP="003B4BE7">
      <w:pPr>
        <w:spacing w:after="0" w:line="240" w:lineRule="auto"/>
      </w:pPr>
      <w:r>
        <w:separator/>
      </w:r>
    </w:p>
  </w:endnote>
  <w:endnote w:type="continuationSeparator" w:id="0">
    <w:p w:rsidR="001F3634" w:rsidRDefault="001F3634" w:rsidP="003B4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38D" w:rsidRPr="00A92A41" w:rsidRDefault="00D4638D" w:rsidP="00A92A41">
    <w:pPr>
      <w:pStyle w:val="Peu"/>
      <w:rPr>
        <w:i/>
        <w:color w:val="C00000"/>
      </w:rPr>
    </w:pPr>
    <w:r w:rsidRPr="00A92A41">
      <w:rPr>
        <w:i/>
        <w:color w:val="C00000"/>
      </w:rPr>
      <w:t xml:space="preserve">Unitat </w:t>
    </w:r>
    <w:r w:rsidR="00302662">
      <w:rPr>
        <w:i/>
        <w:color w:val="C00000"/>
      </w:rPr>
      <w:t>de Projectes, Estudis i Qualit</w:t>
    </w:r>
    <w:r w:rsidR="00EE7863">
      <w:rPr>
        <w:i/>
        <w:color w:val="C00000"/>
      </w:rPr>
      <w:t>at</w:t>
    </w:r>
    <w:r w:rsidR="00302662">
      <w:rPr>
        <w:i/>
        <w:color w:val="C00000"/>
      </w:rPr>
      <w:tab/>
    </w:r>
    <w:r>
      <w:rPr>
        <w:i/>
        <w:color w:val="C00000"/>
      </w:rPr>
      <w:tab/>
    </w:r>
    <w:r w:rsidRPr="00A92A41">
      <w:rPr>
        <w:i/>
        <w:color w:val="C00000"/>
      </w:rPr>
      <w:fldChar w:fldCharType="begin"/>
    </w:r>
    <w:r w:rsidRPr="00A92A41">
      <w:rPr>
        <w:i/>
        <w:color w:val="C00000"/>
      </w:rPr>
      <w:instrText xml:space="preserve"> PAGE   \* MERGEFORMAT </w:instrText>
    </w:r>
    <w:r w:rsidRPr="00A92A41">
      <w:rPr>
        <w:i/>
        <w:color w:val="C00000"/>
      </w:rPr>
      <w:fldChar w:fldCharType="separate"/>
    </w:r>
    <w:r w:rsidR="008D6003">
      <w:rPr>
        <w:i/>
        <w:noProof/>
        <w:color w:val="C00000"/>
      </w:rPr>
      <w:t>12</w:t>
    </w:r>
    <w:r w:rsidRPr="00A92A41">
      <w:rPr>
        <w:i/>
        <w:color w:val="C00000"/>
      </w:rPr>
      <w:fldChar w:fldCharType="end"/>
    </w:r>
  </w:p>
  <w:p w:rsidR="00D4638D" w:rsidRDefault="00D4638D">
    <w:pPr>
      <w:pStyle w:val="Peu"/>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634" w:rsidRDefault="001F3634" w:rsidP="003B4BE7">
      <w:pPr>
        <w:spacing w:after="0" w:line="240" w:lineRule="auto"/>
      </w:pPr>
      <w:r>
        <w:separator/>
      </w:r>
    </w:p>
  </w:footnote>
  <w:footnote w:type="continuationSeparator" w:id="0">
    <w:p w:rsidR="001F3634" w:rsidRDefault="001F3634" w:rsidP="003B4B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38D" w:rsidRPr="00A92A41" w:rsidRDefault="00194B20">
    <w:pPr>
      <w:pStyle w:val="Capalera"/>
      <w:rPr>
        <w:color w:val="C00000"/>
      </w:rPr>
    </w:pPr>
    <w:r w:rsidRPr="009F4F31">
      <w:rPr>
        <w:noProof/>
        <w:lang w:val="es-ES" w:eastAsia="es-ES"/>
      </w:rPr>
      <w:drawing>
        <wp:inline distT="0" distB="0" distL="0" distR="0">
          <wp:extent cx="1457325" cy="466725"/>
          <wp:effectExtent l="0" t="0" r="0" b="0"/>
          <wp:docPr id="15" name="Imatge 1" descr="Descripción: La nova marca de la U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 descr="Descripción: La nova marca de la U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466725"/>
                  </a:xfrm>
                  <a:prstGeom prst="rect">
                    <a:avLst/>
                  </a:prstGeom>
                  <a:noFill/>
                  <a:ln>
                    <a:noFill/>
                  </a:ln>
                </pic:spPr>
              </pic:pic>
            </a:graphicData>
          </a:graphic>
        </wp:inline>
      </w:drawing>
    </w:r>
    <w:r w:rsidR="00D4638D" w:rsidRPr="00392F74">
      <w:rPr>
        <w:noProof/>
        <w:color w:val="FF0000"/>
      </w:rPr>
      <w:t xml:space="preserve">  </w:t>
    </w:r>
    <w:r w:rsidR="0098032B">
      <w:rPr>
        <w:noProof/>
        <w:color w:val="FF0000"/>
      </w:rPr>
      <w:tab/>
    </w:r>
    <w:r w:rsidR="0098032B">
      <w:rPr>
        <w:noProof/>
        <w:color w:val="FF0000"/>
      </w:rPr>
      <w:tab/>
    </w:r>
    <w:r w:rsidR="0098032B" w:rsidRPr="0098032B">
      <w:rPr>
        <w:noProof/>
        <w:color w:val="C00000"/>
      </w:rPr>
      <w:t>AVALDO</w:t>
    </w:r>
    <w:r w:rsidR="00BE483B">
      <w:rPr>
        <w:noProof/>
        <w:color w:val="C00000"/>
      </w:rPr>
      <w:t xml:space="preserve"> </w:t>
    </w:r>
    <w:r w:rsidR="0098032B" w:rsidRPr="0098032B">
      <w:rPr>
        <w:noProof/>
        <w:color w:val="C00000"/>
      </w:rPr>
      <w:t xml:space="preserve"> 20</w:t>
    </w:r>
    <w:r w:rsidR="00CD333E">
      <w:rPr>
        <w:noProof/>
        <w:color w:val="C00000"/>
      </w:rPr>
      <w:t>20</w:t>
    </w:r>
    <w:r w:rsidR="0098032B" w:rsidRPr="0098032B">
      <w:rPr>
        <w:noProof/>
        <w:color w:val="C00000"/>
      </w:rPr>
      <w:t>-202</w:t>
    </w:r>
    <w:r w:rsidR="00CD333E">
      <w:rPr>
        <w:noProof/>
        <w:color w:val="C00000"/>
      </w:rPr>
      <w:t>1</w:t>
    </w:r>
    <w:r w:rsidR="00D4638D" w:rsidRPr="0098032B">
      <w:rPr>
        <w:noProof/>
        <w:color w:val="C00000"/>
      </w:rPr>
      <w:t xml:space="preserve">                               </w:t>
    </w:r>
    <w:r w:rsidR="00D4638D" w:rsidRPr="00A92A41">
      <w:rPr>
        <w:noProof/>
        <w:color w:val="C00000"/>
      </w:rPr>
      <w:tab/>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F425E"/>
    <w:multiLevelType w:val="multilevel"/>
    <w:tmpl w:val="B52CF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15BE0"/>
    <w:multiLevelType w:val="hybridMultilevel"/>
    <w:tmpl w:val="DBE2049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6EE12D5"/>
    <w:multiLevelType w:val="hybridMultilevel"/>
    <w:tmpl w:val="D78C99CA"/>
    <w:lvl w:ilvl="0" w:tplc="AF1444C6">
      <w:start w:val="2013"/>
      <w:numFmt w:val="bullet"/>
      <w:lvlText w:val="-"/>
      <w:lvlJc w:val="left"/>
      <w:pPr>
        <w:ind w:left="720" w:hanging="360"/>
      </w:pPr>
      <w:rPr>
        <w:rFonts w:ascii="Calibri" w:eastAsia="Times New Roman" w:hAnsi="Calibri" w:cs="Times New Roman"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278316C"/>
    <w:multiLevelType w:val="hybridMultilevel"/>
    <w:tmpl w:val="23DAEAE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7375C74"/>
    <w:multiLevelType w:val="hybridMultilevel"/>
    <w:tmpl w:val="20CEDB3A"/>
    <w:lvl w:ilvl="0" w:tplc="0C0A000B">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5" w15:restartNumberingAfterBreak="0">
    <w:nsid w:val="1D2F5787"/>
    <w:multiLevelType w:val="hybridMultilevel"/>
    <w:tmpl w:val="34B8DD02"/>
    <w:lvl w:ilvl="0" w:tplc="0C0A000B">
      <w:start w:val="1"/>
      <w:numFmt w:val="bullet"/>
      <w:lvlText w:val=""/>
      <w:lvlJc w:val="left"/>
      <w:pPr>
        <w:ind w:left="786" w:hanging="360"/>
      </w:pPr>
      <w:rPr>
        <w:rFonts w:ascii="Wingdings" w:hAnsi="Wingdings"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D783F42"/>
    <w:multiLevelType w:val="hybridMultilevel"/>
    <w:tmpl w:val="7B34DB70"/>
    <w:lvl w:ilvl="0" w:tplc="59AE05CA">
      <w:start w:val="2013"/>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F69471A"/>
    <w:multiLevelType w:val="hybridMultilevel"/>
    <w:tmpl w:val="24E8321C"/>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2F101E9"/>
    <w:multiLevelType w:val="hybridMultilevel"/>
    <w:tmpl w:val="ECECCC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8E73096"/>
    <w:multiLevelType w:val="hybridMultilevel"/>
    <w:tmpl w:val="656AEFF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E1E54F5"/>
    <w:multiLevelType w:val="hybridMultilevel"/>
    <w:tmpl w:val="DFD6CCB2"/>
    <w:lvl w:ilvl="0" w:tplc="0C0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EA1D83"/>
    <w:multiLevelType w:val="hybridMultilevel"/>
    <w:tmpl w:val="3D9602F6"/>
    <w:lvl w:ilvl="0" w:tplc="D7381F5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4805D8"/>
    <w:multiLevelType w:val="hybridMultilevel"/>
    <w:tmpl w:val="19682A1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9EF42AA"/>
    <w:multiLevelType w:val="hybridMultilevel"/>
    <w:tmpl w:val="8578C2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F5139BA"/>
    <w:multiLevelType w:val="hybridMultilevel"/>
    <w:tmpl w:val="633456FE"/>
    <w:lvl w:ilvl="0" w:tplc="F9AE2BC4">
      <w:start w:val="1567"/>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E62443"/>
    <w:multiLevelType w:val="hybridMultilevel"/>
    <w:tmpl w:val="878A2716"/>
    <w:lvl w:ilvl="0" w:tplc="0C0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05130FF"/>
    <w:multiLevelType w:val="hybridMultilevel"/>
    <w:tmpl w:val="CC682AA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1DD79DA"/>
    <w:multiLevelType w:val="multilevel"/>
    <w:tmpl w:val="D3EE0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630A65"/>
    <w:multiLevelType w:val="hybridMultilevel"/>
    <w:tmpl w:val="94727FAA"/>
    <w:lvl w:ilvl="0" w:tplc="1EC600FA">
      <w:start w:val="1"/>
      <w:numFmt w:val="decimal"/>
      <w:lvlText w:val="%1."/>
      <w:lvlJc w:val="left"/>
      <w:pPr>
        <w:ind w:left="720" w:hanging="360"/>
      </w:pPr>
      <w:rPr>
        <w:rFonts w:ascii="Calibri" w:hAnsi="Calibri" w:cs="Calibri" w:hint="default"/>
        <w:b/>
        <w:color w:val="C00000"/>
        <w:sz w:val="24"/>
        <w:szCs w:val="24"/>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B84538E"/>
    <w:multiLevelType w:val="hybridMultilevel"/>
    <w:tmpl w:val="0FC8A95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9"/>
  </w:num>
  <w:num w:numId="4">
    <w:abstractNumId w:val="12"/>
  </w:num>
  <w:num w:numId="5">
    <w:abstractNumId w:val="13"/>
  </w:num>
  <w:num w:numId="6">
    <w:abstractNumId w:val="3"/>
  </w:num>
  <w:num w:numId="7">
    <w:abstractNumId w:val="5"/>
  </w:num>
  <w:num w:numId="8">
    <w:abstractNumId w:val="16"/>
  </w:num>
  <w:num w:numId="9">
    <w:abstractNumId w:val="1"/>
  </w:num>
  <w:num w:numId="10">
    <w:abstractNumId w:val="4"/>
  </w:num>
  <w:num w:numId="11">
    <w:abstractNumId w:val="7"/>
  </w:num>
  <w:num w:numId="12">
    <w:abstractNumId w:val="18"/>
  </w:num>
  <w:num w:numId="13">
    <w:abstractNumId w:val="9"/>
  </w:num>
  <w:num w:numId="14">
    <w:abstractNumId w:val="14"/>
  </w:num>
  <w:num w:numId="15">
    <w:abstractNumId w:val="11"/>
  </w:num>
  <w:num w:numId="16">
    <w:abstractNumId w:val="17"/>
  </w:num>
  <w:num w:numId="17">
    <w:abstractNumId w:val="8"/>
  </w:num>
  <w:num w:numId="18">
    <w:abstractNumId w:val="0"/>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drawingGridHorizontalSpacing w:val="110"/>
  <w:displayHorizontalDrawingGridEvery w:val="2"/>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BE7"/>
    <w:rsid w:val="000014F8"/>
    <w:rsid w:val="000034AB"/>
    <w:rsid w:val="00003504"/>
    <w:rsid w:val="000049B2"/>
    <w:rsid w:val="00005B78"/>
    <w:rsid w:val="000156C4"/>
    <w:rsid w:val="00024FCE"/>
    <w:rsid w:val="000301CC"/>
    <w:rsid w:val="0003446C"/>
    <w:rsid w:val="00040B20"/>
    <w:rsid w:val="00041553"/>
    <w:rsid w:val="000419D6"/>
    <w:rsid w:val="00046DFB"/>
    <w:rsid w:val="00056A23"/>
    <w:rsid w:val="0007041B"/>
    <w:rsid w:val="0007276A"/>
    <w:rsid w:val="000731AC"/>
    <w:rsid w:val="00080F9E"/>
    <w:rsid w:val="00086C6B"/>
    <w:rsid w:val="00091B0B"/>
    <w:rsid w:val="000A1743"/>
    <w:rsid w:val="000B7189"/>
    <w:rsid w:val="000B72F8"/>
    <w:rsid w:val="000C1F8F"/>
    <w:rsid w:val="000C3290"/>
    <w:rsid w:val="000C44F1"/>
    <w:rsid w:val="000C579F"/>
    <w:rsid w:val="000C7E42"/>
    <w:rsid w:val="000D4610"/>
    <w:rsid w:val="000E0BF6"/>
    <w:rsid w:val="000E3B0A"/>
    <w:rsid w:val="000E67C7"/>
    <w:rsid w:val="000F0A67"/>
    <w:rsid w:val="00100A57"/>
    <w:rsid w:val="00103385"/>
    <w:rsid w:val="0010358E"/>
    <w:rsid w:val="00110BFB"/>
    <w:rsid w:val="001177FA"/>
    <w:rsid w:val="001208E1"/>
    <w:rsid w:val="00122899"/>
    <w:rsid w:val="00122921"/>
    <w:rsid w:val="00123E34"/>
    <w:rsid w:val="001279BC"/>
    <w:rsid w:val="0013728E"/>
    <w:rsid w:val="00141130"/>
    <w:rsid w:val="001509C2"/>
    <w:rsid w:val="00150CFF"/>
    <w:rsid w:val="001512AC"/>
    <w:rsid w:val="00154093"/>
    <w:rsid w:val="0016630B"/>
    <w:rsid w:val="00171530"/>
    <w:rsid w:val="00174581"/>
    <w:rsid w:val="00183ED4"/>
    <w:rsid w:val="001868AB"/>
    <w:rsid w:val="00192329"/>
    <w:rsid w:val="0019283C"/>
    <w:rsid w:val="00194720"/>
    <w:rsid w:val="00194B20"/>
    <w:rsid w:val="001958D3"/>
    <w:rsid w:val="00195990"/>
    <w:rsid w:val="00197FDD"/>
    <w:rsid w:val="001A69C7"/>
    <w:rsid w:val="001B03D7"/>
    <w:rsid w:val="001B1633"/>
    <w:rsid w:val="001B1D11"/>
    <w:rsid w:val="001C27DB"/>
    <w:rsid w:val="001C466D"/>
    <w:rsid w:val="001C676A"/>
    <w:rsid w:val="001C6905"/>
    <w:rsid w:val="001C6C1E"/>
    <w:rsid w:val="001C75D8"/>
    <w:rsid w:val="001D3E06"/>
    <w:rsid w:val="001D79F8"/>
    <w:rsid w:val="001E4519"/>
    <w:rsid w:val="001E4739"/>
    <w:rsid w:val="001E612F"/>
    <w:rsid w:val="001F0C0B"/>
    <w:rsid w:val="001F3634"/>
    <w:rsid w:val="001F3C68"/>
    <w:rsid w:val="00201BEC"/>
    <w:rsid w:val="00206994"/>
    <w:rsid w:val="00207D7B"/>
    <w:rsid w:val="0021412A"/>
    <w:rsid w:val="00217B54"/>
    <w:rsid w:val="00217C65"/>
    <w:rsid w:val="00221EA3"/>
    <w:rsid w:val="002229D2"/>
    <w:rsid w:val="00222CB7"/>
    <w:rsid w:val="00225C42"/>
    <w:rsid w:val="002270E7"/>
    <w:rsid w:val="0023160B"/>
    <w:rsid w:val="002330CC"/>
    <w:rsid w:val="002339EC"/>
    <w:rsid w:val="00244CB7"/>
    <w:rsid w:val="00246B0E"/>
    <w:rsid w:val="00250CBB"/>
    <w:rsid w:val="002511F4"/>
    <w:rsid w:val="0025130B"/>
    <w:rsid w:val="00254CF0"/>
    <w:rsid w:val="00260E71"/>
    <w:rsid w:val="00270776"/>
    <w:rsid w:val="0027107C"/>
    <w:rsid w:val="00274CDE"/>
    <w:rsid w:val="00276024"/>
    <w:rsid w:val="0028561E"/>
    <w:rsid w:val="0029037C"/>
    <w:rsid w:val="0029214F"/>
    <w:rsid w:val="002977E4"/>
    <w:rsid w:val="002A14E6"/>
    <w:rsid w:val="002A3E98"/>
    <w:rsid w:val="002A50D0"/>
    <w:rsid w:val="002A54A3"/>
    <w:rsid w:val="002A5673"/>
    <w:rsid w:val="002B1BE7"/>
    <w:rsid w:val="002B250A"/>
    <w:rsid w:val="002B4D9F"/>
    <w:rsid w:val="002C3AE5"/>
    <w:rsid w:val="002D0DCF"/>
    <w:rsid w:val="002D157F"/>
    <w:rsid w:val="002D2D0C"/>
    <w:rsid w:val="002D310F"/>
    <w:rsid w:val="002D7305"/>
    <w:rsid w:val="002D78C1"/>
    <w:rsid w:val="002E0C8A"/>
    <w:rsid w:val="002E44A1"/>
    <w:rsid w:val="002E642C"/>
    <w:rsid w:val="002E74C1"/>
    <w:rsid w:val="002F0182"/>
    <w:rsid w:val="002F034F"/>
    <w:rsid w:val="002F61C7"/>
    <w:rsid w:val="002F763C"/>
    <w:rsid w:val="0030010E"/>
    <w:rsid w:val="00302662"/>
    <w:rsid w:val="00312239"/>
    <w:rsid w:val="00320034"/>
    <w:rsid w:val="00325B0E"/>
    <w:rsid w:val="00331417"/>
    <w:rsid w:val="0033404C"/>
    <w:rsid w:val="00342557"/>
    <w:rsid w:val="003514AD"/>
    <w:rsid w:val="003519E9"/>
    <w:rsid w:val="003551DC"/>
    <w:rsid w:val="00362A44"/>
    <w:rsid w:val="0037034C"/>
    <w:rsid w:val="0037040A"/>
    <w:rsid w:val="00377946"/>
    <w:rsid w:val="00377A6F"/>
    <w:rsid w:val="00381711"/>
    <w:rsid w:val="003853B8"/>
    <w:rsid w:val="00392C38"/>
    <w:rsid w:val="00392F74"/>
    <w:rsid w:val="00393AB0"/>
    <w:rsid w:val="00394C79"/>
    <w:rsid w:val="00396ECC"/>
    <w:rsid w:val="003A0018"/>
    <w:rsid w:val="003A2EF7"/>
    <w:rsid w:val="003A36A8"/>
    <w:rsid w:val="003B0E95"/>
    <w:rsid w:val="003B4BE7"/>
    <w:rsid w:val="003B7C7B"/>
    <w:rsid w:val="003C63C7"/>
    <w:rsid w:val="003C69D6"/>
    <w:rsid w:val="003C7760"/>
    <w:rsid w:val="003D0366"/>
    <w:rsid w:val="003D0572"/>
    <w:rsid w:val="003D0C59"/>
    <w:rsid w:val="003D2CEF"/>
    <w:rsid w:val="003E7A46"/>
    <w:rsid w:val="003F1024"/>
    <w:rsid w:val="003F3168"/>
    <w:rsid w:val="003F4374"/>
    <w:rsid w:val="003F5422"/>
    <w:rsid w:val="00407E67"/>
    <w:rsid w:val="00417567"/>
    <w:rsid w:val="00425176"/>
    <w:rsid w:val="004341C7"/>
    <w:rsid w:val="00434612"/>
    <w:rsid w:val="00435F67"/>
    <w:rsid w:val="004373EC"/>
    <w:rsid w:val="00442EE3"/>
    <w:rsid w:val="0044468A"/>
    <w:rsid w:val="00444B9B"/>
    <w:rsid w:val="00446341"/>
    <w:rsid w:val="00457BC8"/>
    <w:rsid w:val="00463B6A"/>
    <w:rsid w:val="00475B09"/>
    <w:rsid w:val="004929B0"/>
    <w:rsid w:val="00494A66"/>
    <w:rsid w:val="004A0460"/>
    <w:rsid w:val="004A5204"/>
    <w:rsid w:val="004C3D8F"/>
    <w:rsid w:val="004D4320"/>
    <w:rsid w:val="004D66CC"/>
    <w:rsid w:val="004E09AC"/>
    <w:rsid w:val="004E6250"/>
    <w:rsid w:val="004E7722"/>
    <w:rsid w:val="00500EBD"/>
    <w:rsid w:val="005014D6"/>
    <w:rsid w:val="00511E8D"/>
    <w:rsid w:val="00512E87"/>
    <w:rsid w:val="00527276"/>
    <w:rsid w:val="005308E8"/>
    <w:rsid w:val="0053138F"/>
    <w:rsid w:val="00536D86"/>
    <w:rsid w:val="005412F8"/>
    <w:rsid w:val="00542209"/>
    <w:rsid w:val="005451DB"/>
    <w:rsid w:val="005537A5"/>
    <w:rsid w:val="00557BF5"/>
    <w:rsid w:val="00562790"/>
    <w:rsid w:val="00570151"/>
    <w:rsid w:val="005704D5"/>
    <w:rsid w:val="005714B8"/>
    <w:rsid w:val="00573D26"/>
    <w:rsid w:val="00574630"/>
    <w:rsid w:val="005765DA"/>
    <w:rsid w:val="00590472"/>
    <w:rsid w:val="00591218"/>
    <w:rsid w:val="005942FF"/>
    <w:rsid w:val="005A0405"/>
    <w:rsid w:val="005A173D"/>
    <w:rsid w:val="005A24C2"/>
    <w:rsid w:val="005B1D72"/>
    <w:rsid w:val="005B3370"/>
    <w:rsid w:val="005B5BA2"/>
    <w:rsid w:val="005B6AD9"/>
    <w:rsid w:val="005C259E"/>
    <w:rsid w:val="005C6388"/>
    <w:rsid w:val="005C70C9"/>
    <w:rsid w:val="005D02E4"/>
    <w:rsid w:val="005D0739"/>
    <w:rsid w:val="005D0CD1"/>
    <w:rsid w:val="005D1006"/>
    <w:rsid w:val="005D1202"/>
    <w:rsid w:val="005D20A1"/>
    <w:rsid w:val="005D55F2"/>
    <w:rsid w:val="005D59B3"/>
    <w:rsid w:val="005E7CF0"/>
    <w:rsid w:val="005F288B"/>
    <w:rsid w:val="00605DA2"/>
    <w:rsid w:val="00610210"/>
    <w:rsid w:val="006142B7"/>
    <w:rsid w:val="00615967"/>
    <w:rsid w:val="00617499"/>
    <w:rsid w:val="00620BA9"/>
    <w:rsid w:val="00627AB8"/>
    <w:rsid w:val="0063113D"/>
    <w:rsid w:val="006457F6"/>
    <w:rsid w:val="00647544"/>
    <w:rsid w:val="00653F52"/>
    <w:rsid w:val="00654127"/>
    <w:rsid w:val="006575B3"/>
    <w:rsid w:val="00657C6B"/>
    <w:rsid w:val="00664C85"/>
    <w:rsid w:val="00665BD8"/>
    <w:rsid w:val="00667FD9"/>
    <w:rsid w:val="006742DA"/>
    <w:rsid w:val="00677AD7"/>
    <w:rsid w:val="006866A7"/>
    <w:rsid w:val="00687206"/>
    <w:rsid w:val="00692E01"/>
    <w:rsid w:val="006940DA"/>
    <w:rsid w:val="006A0FF0"/>
    <w:rsid w:val="006A7FB8"/>
    <w:rsid w:val="006B2F4C"/>
    <w:rsid w:val="006B3271"/>
    <w:rsid w:val="006B3617"/>
    <w:rsid w:val="006B772A"/>
    <w:rsid w:val="006E34D5"/>
    <w:rsid w:val="006E583F"/>
    <w:rsid w:val="006F403F"/>
    <w:rsid w:val="006F5D37"/>
    <w:rsid w:val="006F72EB"/>
    <w:rsid w:val="00700BF5"/>
    <w:rsid w:val="00700D69"/>
    <w:rsid w:val="00706C11"/>
    <w:rsid w:val="00711904"/>
    <w:rsid w:val="00717527"/>
    <w:rsid w:val="0072488A"/>
    <w:rsid w:val="0073727C"/>
    <w:rsid w:val="00737CC7"/>
    <w:rsid w:val="00741C79"/>
    <w:rsid w:val="00743B1E"/>
    <w:rsid w:val="007553F8"/>
    <w:rsid w:val="007713BE"/>
    <w:rsid w:val="0077174D"/>
    <w:rsid w:val="00776370"/>
    <w:rsid w:val="0078031A"/>
    <w:rsid w:val="007818B2"/>
    <w:rsid w:val="007832C5"/>
    <w:rsid w:val="00786BA4"/>
    <w:rsid w:val="00793620"/>
    <w:rsid w:val="007A7B59"/>
    <w:rsid w:val="007B5256"/>
    <w:rsid w:val="007B58FD"/>
    <w:rsid w:val="007C0F9C"/>
    <w:rsid w:val="007C6BB3"/>
    <w:rsid w:val="007C6D6A"/>
    <w:rsid w:val="007D2F15"/>
    <w:rsid w:val="007D640F"/>
    <w:rsid w:val="007E3720"/>
    <w:rsid w:val="007F5A7F"/>
    <w:rsid w:val="0080242E"/>
    <w:rsid w:val="00802868"/>
    <w:rsid w:val="00806840"/>
    <w:rsid w:val="0081262F"/>
    <w:rsid w:val="00812AE8"/>
    <w:rsid w:val="00817987"/>
    <w:rsid w:val="008205EF"/>
    <w:rsid w:val="00823F04"/>
    <w:rsid w:val="00823FC9"/>
    <w:rsid w:val="00825D68"/>
    <w:rsid w:val="008302B7"/>
    <w:rsid w:val="00830ACE"/>
    <w:rsid w:val="00830C5A"/>
    <w:rsid w:val="008466E9"/>
    <w:rsid w:val="00850959"/>
    <w:rsid w:val="008608BF"/>
    <w:rsid w:val="00860D01"/>
    <w:rsid w:val="00861ACA"/>
    <w:rsid w:val="00862F90"/>
    <w:rsid w:val="00863332"/>
    <w:rsid w:val="00863784"/>
    <w:rsid w:val="00863D11"/>
    <w:rsid w:val="00882A30"/>
    <w:rsid w:val="00882B10"/>
    <w:rsid w:val="008850C7"/>
    <w:rsid w:val="008857EA"/>
    <w:rsid w:val="00886D81"/>
    <w:rsid w:val="00887BA9"/>
    <w:rsid w:val="008A11D2"/>
    <w:rsid w:val="008A65D6"/>
    <w:rsid w:val="008B45DB"/>
    <w:rsid w:val="008B7557"/>
    <w:rsid w:val="008C06D1"/>
    <w:rsid w:val="008D47FA"/>
    <w:rsid w:val="008D50ED"/>
    <w:rsid w:val="008D5B74"/>
    <w:rsid w:val="008D6003"/>
    <w:rsid w:val="008E12E4"/>
    <w:rsid w:val="008E1998"/>
    <w:rsid w:val="008E7EB2"/>
    <w:rsid w:val="008F7FAF"/>
    <w:rsid w:val="0090530D"/>
    <w:rsid w:val="00911432"/>
    <w:rsid w:val="00915DA7"/>
    <w:rsid w:val="009248C7"/>
    <w:rsid w:val="00931BEE"/>
    <w:rsid w:val="00933084"/>
    <w:rsid w:val="00935C3D"/>
    <w:rsid w:val="00940C3F"/>
    <w:rsid w:val="009449D1"/>
    <w:rsid w:val="00951F1C"/>
    <w:rsid w:val="00956667"/>
    <w:rsid w:val="009570DB"/>
    <w:rsid w:val="00963819"/>
    <w:rsid w:val="00965E23"/>
    <w:rsid w:val="00967433"/>
    <w:rsid w:val="00971461"/>
    <w:rsid w:val="0097396C"/>
    <w:rsid w:val="00975963"/>
    <w:rsid w:val="0098032B"/>
    <w:rsid w:val="00980522"/>
    <w:rsid w:val="009872C0"/>
    <w:rsid w:val="009918FA"/>
    <w:rsid w:val="00992774"/>
    <w:rsid w:val="00993526"/>
    <w:rsid w:val="00993A84"/>
    <w:rsid w:val="009952DA"/>
    <w:rsid w:val="009A2998"/>
    <w:rsid w:val="009A3EB7"/>
    <w:rsid w:val="009A6AA5"/>
    <w:rsid w:val="009A799E"/>
    <w:rsid w:val="009B0A99"/>
    <w:rsid w:val="009B4322"/>
    <w:rsid w:val="009C365F"/>
    <w:rsid w:val="009C742D"/>
    <w:rsid w:val="009C75C4"/>
    <w:rsid w:val="009D3E7E"/>
    <w:rsid w:val="009E2A18"/>
    <w:rsid w:val="009F29B9"/>
    <w:rsid w:val="009F34A4"/>
    <w:rsid w:val="009F3A43"/>
    <w:rsid w:val="00A0047B"/>
    <w:rsid w:val="00A018F2"/>
    <w:rsid w:val="00A124D3"/>
    <w:rsid w:val="00A173A8"/>
    <w:rsid w:val="00A2564B"/>
    <w:rsid w:val="00A27323"/>
    <w:rsid w:val="00A31517"/>
    <w:rsid w:val="00A3285A"/>
    <w:rsid w:val="00A33F70"/>
    <w:rsid w:val="00A41D45"/>
    <w:rsid w:val="00A41D8F"/>
    <w:rsid w:val="00A52A3F"/>
    <w:rsid w:val="00A5432B"/>
    <w:rsid w:val="00A54708"/>
    <w:rsid w:val="00A54935"/>
    <w:rsid w:val="00A62747"/>
    <w:rsid w:val="00A62B37"/>
    <w:rsid w:val="00A62CC3"/>
    <w:rsid w:val="00A62DDA"/>
    <w:rsid w:val="00A652DA"/>
    <w:rsid w:val="00A72D0A"/>
    <w:rsid w:val="00A9082C"/>
    <w:rsid w:val="00A92247"/>
    <w:rsid w:val="00A92A41"/>
    <w:rsid w:val="00A92C16"/>
    <w:rsid w:val="00A93739"/>
    <w:rsid w:val="00AA1853"/>
    <w:rsid w:val="00AA3BBE"/>
    <w:rsid w:val="00AB19B7"/>
    <w:rsid w:val="00AB78A9"/>
    <w:rsid w:val="00AC1EFF"/>
    <w:rsid w:val="00AC3C8E"/>
    <w:rsid w:val="00AC4676"/>
    <w:rsid w:val="00AC5180"/>
    <w:rsid w:val="00AD6154"/>
    <w:rsid w:val="00AE79C0"/>
    <w:rsid w:val="00AF6F44"/>
    <w:rsid w:val="00B05F04"/>
    <w:rsid w:val="00B10768"/>
    <w:rsid w:val="00B11A83"/>
    <w:rsid w:val="00B12C18"/>
    <w:rsid w:val="00B31DD2"/>
    <w:rsid w:val="00B32143"/>
    <w:rsid w:val="00B329C4"/>
    <w:rsid w:val="00B3757C"/>
    <w:rsid w:val="00B42775"/>
    <w:rsid w:val="00B47376"/>
    <w:rsid w:val="00B56A8F"/>
    <w:rsid w:val="00B62B61"/>
    <w:rsid w:val="00B73482"/>
    <w:rsid w:val="00B802E9"/>
    <w:rsid w:val="00B82A1B"/>
    <w:rsid w:val="00B918F0"/>
    <w:rsid w:val="00B94428"/>
    <w:rsid w:val="00B95C7B"/>
    <w:rsid w:val="00BA2EE9"/>
    <w:rsid w:val="00BA4E6C"/>
    <w:rsid w:val="00BB09F4"/>
    <w:rsid w:val="00BB2372"/>
    <w:rsid w:val="00BB4796"/>
    <w:rsid w:val="00BB4813"/>
    <w:rsid w:val="00BB63F0"/>
    <w:rsid w:val="00BC0972"/>
    <w:rsid w:val="00BD25EB"/>
    <w:rsid w:val="00BD4E34"/>
    <w:rsid w:val="00BD73D6"/>
    <w:rsid w:val="00BE483B"/>
    <w:rsid w:val="00BE4871"/>
    <w:rsid w:val="00BE6F9B"/>
    <w:rsid w:val="00BF0F34"/>
    <w:rsid w:val="00BF60C0"/>
    <w:rsid w:val="00C070C5"/>
    <w:rsid w:val="00C073A4"/>
    <w:rsid w:val="00C16B25"/>
    <w:rsid w:val="00C30F57"/>
    <w:rsid w:val="00C341BA"/>
    <w:rsid w:val="00C34D90"/>
    <w:rsid w:val="00C3711A"/>
    <w:rsid w:val="00C53ADC"/>
    <w:rsid w:val="00C6175E"/>
    <w:rsid w:val="00C66CBB"/>
    <w:rsid w:val="00C720D0"/>
    <w:rsid w:val="00C737F4"/>
    <w:rsid w:val="00C75756"/>
    <w:rsid w:val="00C80332"/>
    <w:rsid w:val="00C81DD3"/>
    <w:rsid w:val="00C82861"/>
    <w:rsid w:val="00C84D7A"/>
    <w:rsid w:val="00C868ED"/>
    <w:rsid w:val="00C90102"/>
    <w:rsid w:val="00CA0494"/>
    <w:rsid w:val="00CA29D5"/>
    <w:rsid w:val="00CA4020"/>
    <w:rsid w:val="00CB21E9"/>
    <w:rsid w:val="00CB6084"/>
    <w:rsid w:val="00CC3FC4"/>
    <w:rsid w:val="00CC4DE9"/>
    <w:rsid w:val="00CC7023"/>
    <w:rsid w:val="00CD2A70"/>
    <w:rsid w:val="00CD333E"/>
    <w:rsid w:val="00CD4BBD"/>
    <w:rsid w:val="00CE3E26"/>
    <w:rsid w:val="00CF1F19"/>
    <w:rsid w:val="00CF673F"/>
    <w:rsid w:val="00CF691C"/>
    <w:rsid w:val="00D004A6"/>
    <w:rsid w:val="00D01862"/>
    <w:rsid w:val="00D0264A"/>
    <w:rsid w:val="00D117A5"/>
    <w:rsid w:val="00D15ED1"/>
    <w:rsid w:val="00D21FD9"/>
    <w:rsid w:val="00D23B91"/>
    <w:rsid w:val="00D245FE"/>
    <w:rsid w:val="00D253CB"/>
    <w:rsid w:val="00D25F36"/>
    <w:rsid w:val="00D260AB"/>
    <w:rsid w:val="00D31546"/>
    <w:rsid w:val="00D3482C"/>
    <w:rsid w:val="00D363C3"/>
    <w:rsid w:val="00D40DB6"/>
    <w:rsid w:val="00D418D4"/>
    <w:rsid w:val="00D41C16"/>
    <w:rsid w:val="00D45FC0"/>
    <w:rsid w:val="00D4638D"/>
    <w:rsid w:val="00D47BAD"/>
    <w:rsid w:val="00D51A1C"/>
    <w:rsid w:val="00D53770"/>
    <w:rsid w:val="00D57B48"/>
    <w:rsid w:val="00D61BFA"/>
    <w:rsid w:val="00D63D31"/>
    <w:rsid w:val="00D645D6"/>
    <w:rsid w:val="00D71089"/>
    <w:rsid w:val="00D71A58"/>
    <w:rsid w:val="00D7419E"/>
    <w:rsid w:val="00D80CAC"/>
    <w:rsid w:val="00D86F7C"/>
    <w:rsid w:val="00D875E8"/>
    <w:rsid w:val="00D93905"/>
    <w:rsid w:val="00DA7096"/>
    <w:rsid w:val="00DB2D7D"/>
    <w:rsid w:val="00DB440F"/>
    <w:rsid w:val="00DC0B1E"/>
    <w:rsid w:val="00DC3D85"/>
    <w:rsid w:val="00DC47D4"/>
    <w:rsid w:val="00DC4CAB"/>
    <w:rsid w:val="00DC5752"/>
    <w:rsid w:val="00DC68F9"/>
    <w:rsid w:val="00DD10BA"/>
    <w:rsid w:val="00DD1996"/>
    <w:rsid w:val="00DD7891"/>
    <w:rsid w:val="00DE59DC"/>
    <w:rsid w:val="00DE6646"/>
    <w:rsid w:val="00DF0331"/>
    <w:rsid w:val="00DF1037"/>
    <w:rsid w:val="00DF1844"/>
    <w:rsid w:val="00DF31C2"/>
    <w:rsid w:val="00DF354C"/>
    <w:rsid w:val="00DF43BD"/>
    <w:rsid w:val="00E010F7"/>
    <w:rsid w:val="00E11EFA"/>
    <w:rsid w:val="00E153F9"/>
    <w:rsid w:val="00E20AD1"/>
    <w:rsid w:val="00E21EBB"/>
    <w:rsid w:val="00E224B4"/>
    <w:rsid w:val="00E3125F"/>
    <w:rsid w:val="00E3306F"/>
    <w:rsid w:val="00E34871"/>
    <w:rsid w:val="00E35CC6"/>
    <w:rsid w:val="00E41966"/>
    <w:rsid w:val="00E42E10"/>
    <w:rsid w:val="00E43FC7"/>
    <w:rsid w:val="00E53145"/>
    <w:rsid w:val="00E64C4A"/>
    <w:rsid w:val="00E65CDE"/>
    <w:rsid w:val="00E774A2"/>
    <w:rsid w:val="00E80F9E"/>
    <w:rsid w:val="00E81465"/>
    <w:rsid w:val="00E8372F"/>
    <w:rsid w:val="00E853A0"/>
    <w:rsid w:val="00E8619F"/>
    <w:rsid w:val="00E8743A"/>
    <w:rsid w:val="00E903A2"/>
    <w:rsid w:val="00E90D5B"/>
    <w:rsid w:val="00E91DB3"/>
    <w:rsid w:val="00EA1312"/>
    <w:rsid w:val="00EB07E7"/>
    <w:rsid w:val="00EB103D"/>
    <w:rsid w:val="00EB4F7F"/>
    <w:rsid w:val="00EB525A"/>
    <w:rsid w:val="00EB72F9"/>
    <w:rsid w:val="00EC5419"/>
    <w:rsid w:val="00ED4F10"/>
    <w:rsid w:val="00EE0AA3"/>
    <w:rsid w:val="00EE50B6"/>
    <w:rsid w:val="00EE7863"/>
    <w:rsid w:val="00EF3602"/>
    <w:rsid w:val="00EF48C3"/>
    <w:rsid w:val="00EF554F"/>
    <w:rsid w:val="00EF6CB1"/>
    <w:rsid w:val="00F10273"/>
    <w:rsid w:val="00F1154D"/>
    <w:rsid w:val="00F1445F"/>
    <w:rsid w:val="00F15D09"/>
    <w:rsid w:val="00F3198A"/>
    <w:rsid w:val="00F32D98"/>
    <w:rsid w:val="00F40717"/>
    <w:rsid w:val="00F45CFF"/>
    <w:rsid w:val="00F55997"/>
    <w:rsid w:val="00F55C2A"/>
    <w:rsid w:val="00F56C65"/>
    <w:rsid w:val="00F61072"/>
    <w:rsid w:val="00F63AAC"/>
    <w:rsid w:val="00F63D36"/>
    <w:rsid w:val="00F64769"/>
    <w:rsid w:val="00F65FF8"/>
    <w:rsid w:val="00F75F97"/>
    <w:rsid w:val="00F76B3D"/>
    <w:rsid w:val="00F8083F"/>
    <w:rsid w:val="00F90963"/>
    <w:rsid w:val="00F910B4"/>
    <w:rsid w:val="00F97A42"/>
    <w:rsid w:val="00FB0425"/>
    <w:rsid w:val="00FB24D1"/>
    <w:rsid w:val="00FC19D5"/>
    <w:rsid w:val="00FC50A6"/>
    <w:rsid w:val="00FC64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25D82B98"/>
  <w15:chartTrackingRefBased/>
  <w15:docId w15:val="{407C6FF8-A94E-4483-B229-4D221256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BE7"/>
    <w:pPr>
      <w:spacing w:after="200" w:line="276" w:lineRule="auto"/>
    </w:pPr>
    <w:rPr>
      <w:sz w:val="22"/>
      <w:szCs w:val="22"/>
      <w:lang w:val="ca-ES" w:eastAsia="en-US"/>
    </w:rPr>
  </w:style>
  <w:style w:type="paragraph" w:styleId="Ttol1">
    <w:name w:val="heading 1"/>
    <w:basedOn w:val="Normal"/>
    <w:next w:val="Normal"/>
    <w:link w:val="Ttol1Car"/>
    <w:uiPriority w:val="9"/>
    <w:qFormat/>
    <w:rsid w:val="0025130B"/>
    <w:pPr>
      <w:keepNext/>
      <w:spacing w:before="240" w:after="60"/>
      <w:outlineLvl w:val="0"/>
    </w:pPr>
    <w:rPr>
      <w:rFonts w:ascii="Cambria" w:eastAsia="Times New Roman" w:hAnsi="Cambria"/>
      <w:b/>
      <w:bCs/>
      <w:kern w:val="32"/>
      <w:sz w:val="32"/>
      <w:szCs w:val="32"/>
    </w:rPr>
  </w:style>
  <w:style w:type="paragraph" w:styleId="Ttol2">
    <w:name w:val="heading 2"/>
    <w:basedOn w:val="Normal"/>
    <w:next w:val="Normal"/>
    <w:link w:val="Ttol2Car"/>
    <w:qFormat/>
    <w:rsid w:val="00381711"/>
    <w:pPr>
      <w:keepNext/>
      <w:spacing w:before="240" w:after="60" w:line="240" w:lineRule="auto"/>
      <w:outlineLvl w:val="1"/>
    </w:pPr>
    <w:rPr>
      <w:rFonts w:ascii="Arial" w:eastAsia="Times New Roman" w:hAnsi="Arial"/>
      <w:b/>
      <w:bCs/>
      <w:i/>
      <w:iCs/>
      <w:sz w:val="28"/>
      <w:szCs w:val="28"/>
      <w:lang w:val="x-none" w:eastAsia="x-none"/>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denotaapeudepgina">
    <w:name w:val="footnote text"/>
    <w:basedOn w:val="Normal"/>
    <w:link w:val="TextdenotaapeudepginaCar"/>
    <w:uiPriority w:val="99"/>
    <w:rsid w:val="003B4BE7"/>
    <w:rPr>
      <w:sz w:val="20"/>
      <w:szCs w:val="20"/>
      <w:lang w:eastAsia="x-none"/>
    </w:rPr>
  </w:style>
  <w:style w:type="character" w:customStyle="1" w:styleId="TextdenotaapeudepginaCar">
    <w:name w:val="Text de nota a peu de pàgina Car"/>
    <w:link w:val="Textdenotaapeudepgina"/>
    <w:uiPriority w:val="99"/>
    <w:rsid w:val="003B4BE7"/>
    <w:rPr>
      <w:rFonts w:ascii="Calibri" w:eastAsia="Calibri" w:hAnsi="Calibri" w:cs="Times New Roman"/>
      <w:sz w:val="20"/>
      <w:szCs w:val="20"/>
      <w:lang w:val="ca-ES"/>
    </w:rPr>
  </w:style>
  <w:style w:type="character" w:styleId="Refernciadenotaapeudepgina">
    <w:name w:val="footnote reference"/>
    <w:uiPriority w:val="99"/>
    <w:rsid w:val="003B4BE7"/>
    <w:rPr>
      <w:vertAlign w:val="superscript"/>
    </w:rPr>
  </w:style>
  <w:style w:type="paragraph" w:styleId="Capalera">
    <w:name w:val="header"/>
    <w:basedOn w:val="Normal"/>
    <w:link w:val="CapaleraCar"/>
    <w:uiPriority w:val="99"/>
    <w:unhideWhenUsed/>
    <w:rsid w:val="003B4BE7"/>
    <w:pPr>
      <w:tabs>
        <w:tab w:val="center" w:pos="4252"/>
        <w:tab w:val="right" w:pos="8504"/>
      </w:tabs>
      <w:spacing w:after="0" w:line="240" w:lineRule="auto"/>
    </w:pPr>
    <w:rPr>
      <w:sz w:val="20"/>
      <w:szCs w:val="20"/>
      <w:lang w:eastAsia="x-none"/>
    </w:rPr>
  </w:style>
  <w:style w:type="character" w:customStyle="1" w:styleId="CapaleraCar">
    <w:name w:val="Capçalera Car"/>
    <w:link w:val="Capalera"/>
    <w:uiPriority w:val="99"/>
    <w:rsid w:val="003B4BE7"/>
    <w:rPr>
      <w:rFonts w:ascii="Calibri" w:eastAsia="Calibri" w:hAnsi="Calibri" w:cs="Times New Roman"/>
      <w:lang w:val="ca-ES"/>
    </w:rPr>
  </w:style>
  <w:style w:type="paragraph" w:styleId="Peu">
    <w:name w:val="footer"/>
    <w:basedOn w:val="Normal"/>
    <w:link w:val="PeuCar"/>
    <w:uiPriority w:val="99"/>
    <w:unhideWhenUsed/>
    <w:rsid w:val="003B4BE7"/>
    <w:pPr>
      <w:tabs>
        <w:tab w:val="center" w:pos="4252"/>
        <w:tab w:val="right" w:pos="8504"/>
      </w:tabs>
      <w:spacing w:after="0" w:line="240" w:lineRule="auto"/>
    </w:pPr>
    <w:rPr>
      <w:sz w:val="20"/>
      <w:szCs w:val="20"/>
      <w:lang w:eastAsia="x-none"/>
    </w:rPr>
  </w:style>
  <w:style w:type="character" w:customStyle="1" w:styleId="PeuCar">
    <w:name w:val="Peu Car"/>
    <w:link w:val="Peu"/>
    <w:uiPriority w:val="99"/>
    <w:rsid w:val="003B4BE7"/>
    <w:rPr>
      <w:rFonts w:ascii="Calibri" w:eastAsia="Calibri" w:hAnsi="Calibri" w:cs="Times New Roman"/>
      <w:lang w:val="ca-ES"/>
    </w:rPr>
  </w:style>
  <w:style w:type="paragraph" w:styleId="Textdeglobus">
    <w:name w:val="Balloon Text"/>
    <w:basedOn w:val="Normal"/>
    <w:link w:val="TextdeglobusCar"/>
    <w:uiPriority w:val="99"/>
    <w:semiHidden/>
    <w:unhideWhenUsed/>
    <w:rsid w:val="00003504"/>
    <w:pPr>
      <w:spacing w:after="0" w:line="240" w:lineRule="auto"/>
    </w:pPr>
    <w:rPr>
      <w:rFonts w:ascii="Tahoma" w:hAnsi="Tahoma"/>
      <w:sz w:val="16"/>
      <w:szCs w:val="16"/>
    </w:rPr>
  </w:style>
  <w:style w:type="character" w:customStyle="1" w:styleId="TextdeglobusCar">
    <w:name w:val="Text de globus Car"/>
    <w:link w:val="Textdeglobus"/>
    <w:uiPriority w:val="99"/>
    <w:semiHidden/>
    <w:rsid w:val="00003504"/>
    <w:rPr>
      <w:rFonts w:ascii="Tahoma" w:hAnsi="Tahoma" w:cs="Tahoma"/>
      <w:sz w:val="16"/>
      <w:szCs w:val="16"/>
      <w:lang w:val="ca-ES" w:eastAsia="en-US"/>
    </w:rPr>
  </w:style>
  <w:style w:type="character" w:customStyle="1" w:styleId="Ttol1Car">
    <w:name w:val="Títol 1 Car"/>
    <w:link w:val="Ttol1"/>
    <w:uiPriority w:val="9"/>
    <w:rsid w:val="0025130B"/>
    <w:rPr>
      <w:rFonts w:ascii="Cambria" w:eastAsia="Times New Roman" w:hAnsi="Cambria" w:cs="Times New Roman"/>
      <w:b/>
      <w:bCs/>
      <w:kern w:val="32"/>
      <w:sz w:val="32"/>
      <w:szCs w:val="32"/>
      <w:lang w:val="ca-ES" w:eastAsia="en-US"/>
    </w:rPr>
  </w:style>
  <w:style w:type="paragraph" w:styleId="TtoldelIDC">
    <w:name w:val="TOC Heading"/>
    <w:basedOn w:val="Ttol1"/>
    <w:next w:val="Normal"/>
    <w:uiPriority w:val="39"/>
    <w:semiHidden/>
    <w:unhideWhenUsed/>
    <w:qFormat/>
    <w:rsid w:val="0025130B"/>
    <w:pPr>
      <w:keepLines/>
      <w:spacing w:before="480" w:after="0"/>
      <w:outlineLvl w:val="9"/>
    </w:pPr>
    <w:rPr>
      <w:color w:val="365F91"/>
      <w:kern w:val="0"/>
      <w:sz w:val="28"/>
      <w:szCs w:val="28"/>
      <w:lang w:val="es-ES"/>
    </w:rPr>
  </w:style>
  <w:style w:type="character" w:customStyle="1" w:styleId="Ttol2Car">
    <w:name w:val="Títol 2 Car"/>
    <w:link w:val="Ttol2"/>
    <w:rsid w:val="00381711"/>
    <w:rPr>
      <w:rFonts w:ascii="Arial" w:eastAsia="Times New Roman" w:hAnsi="Arial" w:cs="Arial"/>
      <w:b/>
      <w:bCs/>
      <w:i/>
      <w:iCs/>
      <w:sz w:val="28"/>
      <w:szCs w:val="28"/>
    </w:rPr>
  </w:style>
  <w:style w:type="paragraph" w:styleId="Pargrafdellista">
    <w:name w:val="List Paragraph"/>
    <w:basedOn w:val="Normal"/>
    <w:uiPriority w:val="34"/>
    <w:qFormat/>
    <w:rsid w:val="006E583F"/>
    <w:pPr>
      <w:ind w:left="708"/>
    </w:pPr>
  </w:style>
  <w:style w:type="paragraph" w:styleId="NormalWeb">
    <w:name w:val="Normal (Web)"/>
    <w:basedOn w:val="Normal"/>
    <w:uiPriority w:val="99"/>
    <w:semiHidden/>
    <w:unhideWhenUsed/>
    <w:rsid w:val="006866A7"/>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Textennegreta">
    <w:name w:val="Strong"/>
    <w:basedOn w:val="Tipusdelletraperdefectedelpargraf"/>
    <w:uiPriority w:val="22"/>
    <w:qFormat/>
    <w:rsid w:val="00A3285A"/>
    <w:rPr>
      <w:b/>
      <w:bCs/>
    </w:rPr>
  </w:style>
  <w:style w:type="character" w:styleId="Enlla">
    <w:name w:val="Hyperlink"/>
    <w:basedOn w:val="Tipusdelletraperdefectedelpargraf"/>
    <w:uiPriority w:val="99"/>
    <w:unhideWhenUsed/>
    <w:rsid w:val="00A328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6263">
      <w:bodyDiv w:val="1"/>
      <w:marLeft w:val="0"/>
      <w:marRight w:val="0"/>
      <w:marTop w:val="0"/>
      <w:marBottom w:val="0"/>
      <w:divBdr>
        <w:top w:val="none" w:sz="0" w:space="0" w:color="auto"/>
        <w:left w:val="none" w:sz="0" w:space="0" w:color="auto"/>
        <w:bottom w:val="none" w:sz="0" w:space="0" w:color="auto"/>
        <w:right w:val="none" w:sz="0" w:space="0" w:color="auto"/>
      </w:divBdr>
    </w:div>
    <w:div w:id="64450961">
      <w:bodyDiv w:val="1"/>
      <w:marLeft w:val="0"/>
      <w:marRight w:val="0"/>
      <w:marTop w:val="0"/>
      <w:marBottom w:val="0"/>
      <w:divBdr>
        <w:top w:val="none" w:sz="0" w:space="0" w:color="auto"/>
        <w:left w:val="none" w:sz="0" w:space="0" w:color="auto"/>
        <w:bottom w:val="none" w:sz="0" w:space="0" w:color="auto"/>
        <w:right w:val="none" w:sz="0" w:space="0" w:color="auto"/>
      </w:divBdr>
    </w:div>
    <w:div w:id="134611145">
      <w:bodyDiv w:val="1"/>
      <w:marLeft w:val="0"/>
      <w:marRight w:val="0"/>
      <w:marTop w:val="0"/>
      <w:marBottom w:val="0"/>
      <w:divBdr>
        <w:top w:val="none" w:sz="0" w:space="0" w:color="auto"/>
        <w:left w:val="none" w:sz="0" w:space="0" w:color="auto"/>
        <w:bottom w:val="none" w:sz="0" w:space="0" w:color="auto"/>
        <w:right w:val="none" w:sz="0" w:space="0" w:color="auto"/>
      </w:divBdr>
    </w:div>
    <w:div w:id="227880031">
      <w:bodyDiv w:val="1"/>
      <w:marLeft w:val="0"/>
      <w:marRight w:val="0"/>
      <w:marTop w:val="0"/>
      <w:marBottom w:val="0"/>
      <w:divBdr>
        <w:top w:val="none" w:sz="0" w:space="0" w:color="auto"/>
        <w:left w:val="none" w:sz="0" w:space="0" w:color="auto"/>
        <w:bottom w:val="none" w:sz="0" w:space="0" w:color="auto"/>
        <w:right w:val="none" w:sz="0" w:space="0" w:color="auto"/>
      </w:divBdr>
    </w:div>
    <w:div w:id="279263257">
      <w:bodyDiv w:val="1"/>
      <w:marLeft w:val="0"/>
      <w:marRight w:val="0"/>
      <w:marTop w:val="0"/>
      <w:marBottom w:val="0"/>
      <w:divBdr>
        <w:top w:val="none" w:sz="0" w:space="0" w:color="auto"/>
        <w:left w:val="none" w:sz="0" w:space="0" w:color="auto"/>
        <w:bottom w:val="none" w:sz="0" w:space="0" w:color="auto"/>
        <w:right w:val="none" w:sz="0" w:space="0" w:color="auto"/>
      </w:divBdr>
    </w:div>
    <w:div w:id="360667533">
      <w:bodyDiv w:val="1"/>
      <w:marLeft w:val="0"/>
      <w:marRight w:val="0"/>
      <w:marTop w:val="0"/>
      <w:marBottom w:val="0"/>
      <w:divBdr>
        <w:top w:val="none" w:sz="0" w:space="0" w:color="auto"/>
        <w:left w:val="none" w:sz="0" w:space="0" w:color="auto"/>
        <w:bottom w:val="none" w:sz="0" w:space="0" w:color="auto"/>
        <w:right w:val="none" w:sz="0" w:space="0" w:color="auto"/>
      </w:divBdr>
    </w:div>
    <w:div w:id="427039600">
      <w:bodyDiv w:val="1"/>
      <w:marLeft w:val="0"/>
      <w:marRight w:val="0"/>
      <w:marTop w:val="0"/>
      <w:marBottom w:val="0"/>
      <w:divBdr>
        <w:top w:val="none" w:sz="0" w:space="0" w:color="auto"/>
        <w:left w:val="none" w:sz="0" w:space="0" w:color="auto"/>
        <w:bottom w:val="none" w:sz="0" w:space="0" w:color="auto"/>
        <w:right w:val="none" w:sz="0" w:space="0" w:color="auto"/>
      </w:divBdr>
    </w:div>
    <w:div w:id="576018039">
      <w:bodyDiv w:val="1"/>
      <w:marLeft w:val="0"/>
      <w:marRight w:val="0"/>
      <w:marTop w:val="0"/>
      <w:marBottom w:val="0"/>
      <w:divBdr>
        <w:top w:val="none" w:sz="0" w:space="0" w:color="auto"/>
        <w:left w:val="none" w:sz="0" w:space="0" w:color="auto"/>
        <w:bottom w:val="none" w:sz="0" w:space="0" w:color="auto"/>
        <w:right w:val="none" w:sz="0" w:space="0" w:color="auto"/>
      </w:divBdr>
    </w:div>
    <w:div w:id="630285915">
      <w:bodyDiv w:val="1"/>
      <w:marLeft w:val="0"/>
      <w:marRight w:val="0"/>
      <w:marTop w:val="0"/>
      <w:marBottom w:val="0"/>
      <w:divBdr>
        <w:top w:val="none" w:sz="0" w:space="0" w:color="auto"/>
        <w:left w:val="none" w:sz="0" w:space="0" w:color="auto"/>
        <w:bottom w:val="none" w:sz="0" w:space="0" w:color="auto"/>
        <w:right w:val="none" w:sz="0" w:space="0" w:color="auto"/>
      </w:divBdr>
    </w:div>
    <w:div w:id="682049315">
      <w:bodyDiv w:val="1"/>
      <w:marLeft w:val="0"/>
      <w:marRight w:val="0"/>
      <w:marTop w:val="0"/>
      <w:marBottom w:val="0"/>
      <w:divBdr>
        <w:top w:val="none" w:sz="0" w:space="0" w:color="auto"/>
        <w:left w:val="none" w:sz="0" w:space="0" w:color="auto"/>
        <w:bottom w:val="none" w:sz="0" w:space="0" w:color="auto"/>
        <w:right w:val="none" w:sz="0" w:space="0" w:color="auto"/>
      </w:divBdr>
    </w:div>
    <w:div w:id="722870104">
      <w:bodyDiv w:val="1"/>
      <w:marLeft w:val="0"/>
      <w:marRight w:val="0"/>
      <w:marTop w:val="0"/>
      <w:marBottom w:val="0"/>
      <w:divBdr>
        <w:top w:val="none" w:sz="0" w:space="0" w:color="auto"/>
        <w:left w:val="none" w:sz="0" w:space="0" w:color="auto"/>
        <w:bottom w:val="none" w:sz="0" w:space="0" w:color="auto"/>
        <w:right w:val="none" w:sz="0" w:space="0" w:color="auto"/>
      </w:divBdr>
    </w:div>
    <w:div w:id="745494182">
      <w:bodyDiv w:val="1"/>
      <w:marLeft w:val="0"/>
      <w:marRight w:val="0"/>
      <w:marTop w:val="0"/>
      <w:marBottom w:val="0"/>
      <w:divBdr>
        <w:top w:val="none" w:sz="0" w:space="0" w:color="auto"/>
        <w:left w:val="none" w:sz="0" w:space="0" w:color="auto"/>
        <w:bottom w:val="none" w:sz="0" w:space="0" w:color="auto"/>
        <w:right w:val="none" w:sz="0" w:space="0" w:color="auto"/>
      </w:divBdr>
    </w:div>
    <w:div w:id="786046877">
      <w:bodyDiv w:val="1"/>
      <w:marLeft w:val="0"/>
      <w:marRight w:val="0"/>
      <w:marTop w:val="0"/>
      <w:marBottom w:val="0"/>
      <w:divBdr>
        <w:top w:val="none" w:sz="0" w:space="0" w:color="auto"/>
        <w:left w:val="none" w:sz="0" w:space="0" w:color="auto"/>
        <w:bottom w:val="none" w:sz="0" w:space="0" w:color="auto"/>
        <w:right w:val="none" w:sz="0" w:space="0" w:color="auto"/>
      </w:divBdr>
    </w:div>
    <w:div w:id="832113045">
      <w:bodyDiv w:val="1"/>
      <w:marLeft w:val="0"/>
      <w:marRight w:val="0"/>
      <w:marTop w:val="0"/>
      <w:marBottom w:val="0"/>
      <w:divBdr>
        <w:top w:val="none" w:sz="0" w:space="0" w:color="auto"/>
        <w:left w:val="none" w:sz="0" w:space="0" w:color="auto"/>
        <w:bottom w:val="none" w:sz="0" w:space="0" w:color="auto"/>
        <w:right w:val="none" w:sz="0" w:space="0" w:color="auto"/>
      </w:divBdr>
    </w:div>
    <w:div w:id="889535457">
      <w:bodyDiv w:val="1"/>
      <w:marLeft w:val="0"/>
      <w:marRight w:val="0"/>
      <w:marTop w:val="0"/>
      <w:marBottom w:val="0"/>
      <w:divBdr>
        <w:top w:val="none" w:sz="0" w:space="0" w:color="auto"/>
        <w:left w:val="none" w:sz="0" w:space="0" w:color="auto"/>
        <w:bottom w:val="none" w:sz="0" w:space="0" w:color="auto"/>
        <w:right w:val="none" w:sz="0" w:space="0" w:color="auto"/>
      </w:divBdr>
    </w:div>
    <w:div w:id="1011948825">
      <w:bodyDiv w:val="1"/>
      <w:marLeft w:val="0"/>
      <w:marRight w:val="0"/>
      <w:marTop w:val="0"/>
      <w:marBottom w:val="0"/>
      <w:divBdr>
        <w:top w:val="none" w:sz="0" w:space="0" w:color="auto"/>
        <w:left w:val="none" w:sz="0" w:space="0" w:color="auto"/>
        <w:bottom w:val="none" w:sz="0" w:space="0" w:color="auto"/>
        <w:right w:val="none" w:sz="0" w:space="0" w:color="auto"/>
      </w:divBdr>
    </w:div>
    <w:div w:id="1049650790">
      <w:bodyDiv w:val="1"/>
      <w:marLeft w:val="0"/>
      <w:marRight w:val="0"/>
      <w:marTop w:val="0"/>
      <w:marBottom w:val="0"/>
      <w:divBdr>
        <w:top w:val="none" w:sz="0" w:space="0" w:color="auto"/>
        <w:left w:val="none" w:sz="0" w:space="0" w:color="auto"/>
        <w:bottom w:val="none" w:sz="0" w:space="0" w:color="auto"/>
        <w:right w:val="none" w:sz="0" w:space="0" w:color="auto"/>
      </w:divBdr>
    </w:div>
    <w:div w:id="1194154126">
      <w:bodyDiv w:val="1"/>
      <w:marLeft w:val="0"/>
      <w:marRight w:val="0"/>
      <w:marTop w:val="0"/>
      <w:marBottom w:val="0"/>
      <w:divBdr>
        <w:top w:val="none" w:sz="0" w:space="0" w:color="auto"/>
        <w:left w:val="none" w:sz="0" w:space="0" w:color="auto"/>
        <w:bottom w:val="none" w:sz="0" w:space="0" w:color="auto"/>
        <w:right w:val="none" w:sz="0" w:space="0" w:color="auto"/>
      </w:divBdr>
    </w:div>
    <w:div w:id="1204825864">
      <w:bodyDiv w:val="1"/>
      <w:marLeft w:val="0"/>
      <w:marRight w:val="0"/>
      <w:marTop w:val="0"/>
      <w:marBottom w:val="0"/>
      <w:divBdr>
        <w:top w:val="none" w:sz="0" w:space="0" w:color="auto"/>
        <w:left w:val="none" w:sz="0" w:space="0" w:color="auto"/>
        <w:bottom w:val="none" w:sz="0" w:space="0" w:color="auto"/>
        <w:right w:val="none" w:sz="0" w:space="0" w:color="auto"/>
      </w:divBdr>
    </w:div>
    <w:div w:id="1213078338">
      <w:bodyDiv w:val="1"/>
      <w:marLeft w:val="0"/>
      <w:marRight w:val="0"/>
      <w:marTop w:val="0"/>
      <w:marBottom w:val="0"/>
      <w:divBdr>
        <w:top w:val="none" w:sz="0" w:space="0" w:color="auto"/>
        <w:left w:val="none" w:sz="0" w:space="0" w:color="auto"/>
        <w:bottom w:val="none" w:sz="0" w:space="0" w:color="auto"/>
        <w:right w:val="none" w:sz="0" w:space="0" w:color="auto"/>
      </w:divBdr>
    </w:div>
    <w:div w:id="1275821013">
      <w:bodyDiv w:val="1"/>
      <w:marLeft w:val="0"/>
      <w:marRight w:val="0"/>
      <w:marTop w:val="0"/>
      <w:marBottom w:val="0"/>
      <w:divBdr>
        <w:top w:val="none" w:sz="0" w:space="0" w:color="auto"/>
        <w:left w:val="none" w:sz="0" w:space="0" w:color="auto"/>
        <w:bottom w:val="none" w:sz="0" w:space="0" w:color="auto"/>
        <w:right w:val="none" w:sz="0" w:space="0" w:color="auto"/>
      </w:divBdr>
    </w:div>
    <w:div w:id="1323855330">
      <w:bodyDiv w:val="1"/>
      <w:marLeft w:val="0"/>
      <w:marRight w:val="0"/>
      <w:marTop w:val="0"/>
      <w:marBottom w:val="0"/>
      <w:divBdr>
        <w:top w:val="none" w:sz="0" w:space="0" w:color="auto"/>
        <w:left w:val="none" w:sz="0" w:space="0" w:color="auto"/>
        <w:bottom w:val="none" w:sz="0" w:space="0" w:color="auto"/>
        <w:right w:val="none" w:sz="0" w:space="0" w:color="auto"/>
      </w:divBdr>
    </w:div>
    <w:div w:id="1342194965">
      <w:bodyDiv w:val="1"/>
      <w:marLeft w:val="0"/>
      <w:marRight w:val="0"/>
      <w:marTop w:val="0"/>
      <w:marBottom w:val="0"/>
      <w:divBdr>
        <w:top w:val="none" w:sz="0" w:space="0" w:color="auto"/>
        <w:left w:val="none" w:sz="0" w:space="0" w:color="auto"/>
        <w:bottom w:val="none" w:sz="0" w:space="0" w:color="auto"/>
        <w:right w:val="none" w:sz="0" w:space="0" w:color="auto"/>
      </w:divBdr>
    </w:div>
    <w:div w:id="1358772950">
      <w:bodyDiv w:val="1"/>
      <w:marLeft w:val="0"/>
      <w:marRight w:val="0"/>
      <w:marTop w:val="0"/>
      <w:marBottom w:val="0"/>
      <w:divBdr>
        <w:top w:val="none" w:sz="0" w:space="0" w:color="auto"/>
        <w:left w:val="none" w:sz="0" w:space="0" w:color="auto"/>
        <w:bottom w:val="none" w:sz="0" w:space="0" w:color="auto"/>
        <w:right w:val="none" w:sz="0" w:space="0" w:color="auto"/>
      </w:divBdr>
    </w:div>
    <w:div w:id="1385060367">
      <w:bodyDiv w:val="1"/>
      <w:marLeft w:val="0"/>
      <w:marRight w:val="0"/>
      <w:marTop w:val="0"/>
      <w:marBottom w:val="0"/>
      <w:divBdr>
        <w:top w:val="none" w:sz="0" w:space="0" w:color="auto"/>
        <w:left w:val="none" w:sz="0" w:space="0" w:color="auto"/>
        <w:bottom w:val="none" w:sz="0" w:space="0" w:color="auto"/>
        <w:right w:val="none" w:sz="0" w:space="0" w:color="auto"/>
      </w:divBdr>
    </w:div>
    <w:div w:id="1457914112">
      <w:bodyDiv w:val="1"/>
      <w:marLeft w:val="0"/>
      <w:marRight w:val="0"/>
      <w:marTop w:val="0"/>
      <w:marBottom w:val="0"/>
      <w:divBdr>
        <w:top w:val="none" w:sz="0" w:space="0" w:color="auto"/>
        <w:left w:val="none" w:sz="0" w:space="0" w:color="auto"/>
        <w:bottom w:val="none" w:sz="0" w:space="0" w:color="auto"/>
        <w:right w:val="none" w:sz="0" w:space="0" w:color="auto"/>
      </w:divBdr>
    </w:div>
    <w:div w:id="1491168548">
      <w:bodyDiv w:val="1"/>
      <w:marLeft w:val="0"/>
      <w:marRight w:val="0"/>
      <w:marTop w:val="0"/>
      <w:marBottom w:val="0"/>
      <w:divBdr>
        <w:top w:val="none" w:sz="0" w:space="0" w:color="auto"/>
        <w:left w:val="none" w:sz="0" w:space="0" w:color="auto"/>
        <w:bottom w:val="none" w:sz="0" w:space="0" w:color="auto"/>
        <w:right w:val="none" w:sz="0" w:space="0" w:color="auto"/>
      </w:divBdr>
    </w:div>
    <w:div w:id="1603535341">
      <w:bodyDiv w:val="1"/>
      <w:marLeft w:val="0"/>
      <w:marRight w:val="0"/>
      <w:marTop w:val="0"/>
      <w:marBottom w:val="0"/>
      <w:divBdr>
        <w:top w:val="none" w:sz="0" w:space="0" w:color="auto"/>
        <w:left w:val="none" w:sz="0" w:space="0" w:color="auto"/>
        <w:bottom w:val="none" w:sz="0" w:space="0" w:color="auto"/>
        <w:right w:val="none" w:sz="0" w:space="0" w:color="auto"/>
      </w:divBdr>
    </w:div>
    <w:div w:id="1654215573">
      <w:bodyDiv w:val="1"/>
      <w:marLeft w:val="0"/>
      <w:marRight w:val="0"/>
      <w:marTop w:val="0"/>
      <w:marBottom w:val="0"/>
      <w:divBdr>
        <w:top w:val="none" w:sz="0" w:space="0" w:color="auto"/>
        <w:left w:val="none" w:sz="0" w:space="0" w:color="auto"/>
        <w:bottom w:val="none" w:sz="0" w:space="0" w:color="auto"/>
        <w:right w:val="none" w:sz="0" w:space="0" w:color="auto"/>
      </w:divBdr>
    </w:div>
    <w:div w:id="1738701903">
      <w:bodyDiv w:val="1"/>
      <w:marLeft w:val="0"/>
      <w:marRight w:val="0"/>
      <w:marTop w:val="0"/>
      <w:marBottom w:val="0"/>
      <w:divBdr>
        <w:top w:val="none" w:sz="0" w:space="0" w:color="auto"/>
        <w:left w:val="none" w:sz="0" w:space="0" w:color="auto"/>
        <w:bottom w:val="none" w:sz="0" w:space="0" w:color="auto"/>
        <w:right w:val="none" w:sz="0" w:space="0" w:color="auto"/>
      </w:divBdr>
    </w:div>
    <w:div w:id="1747915412">
      <w:bodyDiv w:val="1"/>
      <w:marLeft w:val="0"/>
      <w:marRight w:val="0"/>
      <w:marTop w:val="0"/>
      <w:marBottom w:val="0"/>
      <w:divBdr>
        <w:top w:val="none" w:sz="0" w:space="0" w:color="auto"/>
        <w:left w:val="none" w:sz="0" w:space="0" w:color="auto"/>
        <w:bottom w:val="none" w:sz="0" w:space="0" w:color="auto"/>
        <w:right w:val="none" w:sz="0" w:space="0" w:color="auto"/>
      </w:divBdr>
    </w:div>
    <w:div w:id="1908414825">
      <w:bodyDiv w:val="1"/>
      <w:marLeft w:val="0"/>
      <w:marRight w:val="0"/>
      <w:marTop w:val="0"/>
      <w:marBottom w:val="0"/>
      <w:divBdr>
        <w:top w:val="none" w:sz="0" w:space="0" w:color="auto"/>
        <w:left w:val="none" w:sz="0" w:space="0" w:color="auto"/>
        <w:bottom w:val="none" w:sz="0" w:space="0" w:color="auto"/>
        <w:right w:val="none" w:sz="0" w:space="0" w:color="auto"/>
      </w:divBdr>
    </w:div>
    <w:div w:id="1912881844">
      <w:bodyDiv w:val="1"/>
      <w:marLeft w:val="0"/>
      <w:marRight w:val="0"/>
      <w:marTop w:val="0"/>
      <w:marBottom w:val="0"/>
      <w:divBdr>
        <w:top w:val="none" w:sz="0" w:space="0" w:color="auto"/>
        <w:left w:val="none" w:sz="0" w:space="0" w:color="auto"/>
        <w:bottom w:val="none" w:sz="0" w:space="0" w:color="auto"/>
        <w:right w:val="none" w:sz="0" w:space="0" w:color="auto"/>
      </w:divBdr>
    </w:div>
    <w:div w:id="2084795013">
      <w:bodyDiv w:val="1"/>
      <w:marLeft w:val="0"/>
      <w:marRight w:val="0"/>
      <w:marTop w:val="0"/>
      <w:marBottom w:val="0"/>
      <w:divBdr>
        <w:top w:val="none" w:sz="0" w:space="0" w:color="auto"/>
        <w:left w:val="none" w:sz="0" w:space="0" w:color="auto"/>
        <w:bottom w:val="none" w:sz="0" w:space="0" w:color="auto"/>
        <w:right w:val="none" w:sz="0" w:space="0" w:color="auto"/>
      </w:divBdr>
    </w:div>
    <w:div w:id="210101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9E82E9-A195-42B8-B412-1B23D082D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818</TotalTime>
  <Pages>12</Pages>
  <Words>1884</Words>
  <Characters>10364</Characters>
  <Application>Microsoft Office Word</Application>
  <DocSecurity>0</DocSecurity>
  <Lines>86</Lines>
  <Paragraphs>24</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Universitat Pompeu Fabra</dc:creator>
  <cp:keywords/>
  <cp:lastModifiedBy>u20066</cp:lastModifiedBy>
  <cp:revision>16</cp:revision>
  <cp:lastPrinted>2019-02-07T09:04:00Z</cp:lastPrinted>
  <dcterms:created xsi:type="dcterms:W3CDTF">2021-09-14T09:12:00Z</dcterms:created>
  <dcterms:modified xsi:type="dcterms:W3CDTF">2021-11-03T08:00:00Z</dcterms:modified>
</cp:coreProperties>
</file>