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2A1" w:rsidRDefault="00AA42A1">
      <w:pPr>
        <w:spacing w:after="120"/>
        <w:jc w:val="center"/>
        <w:rPr>
          <w:rFonts w:ascii="Arial" w:eastAsia="Verdana" w:hAnsi="Arial" w:cs="Arial"/>
          <w:b/>
          <w:bCs/>
          <w:kern w:val="1"/>
          <w:sz w:val="36"/>
          <w:szCs w:val="36"/>
          <w:lang w:val="es-ES"/>
        </w:rPr>
      </w:pPr>
      <w:r>
        <w:rPr>
          <w:rFonts w:ascii="Calibri" w:hAnsi="Calibri" w:cs="Calibri"/>
          <w:sz w:val="32"/>
          <w:u w:val="single"/>
          <w:lang w:val="es-ES"/>
        </w:rPr>
        <w:t>NOTA DE PRENSA</w:t>
      </w:r>
    </w:p>
    <w:p w:rsidR="009F19C2" w:rsidRPr="009F19C2" w:rsidRDefault="009F19C2" w:rsidP="009F19C2">
      <w:pPr>
        <w:suppressAutoHyphens w:val="0"/>
        <w:spacing w:line="240" w:lineRule="atLeast"/>
        <w:jc w:val="left"/>
        <w:rPr>
          <w:rFonts w:ascii="Arial" w:eastAsia="Verdana" w:hAnsi="Arial" w:cs="Arial"/>
          <w:b/>
          <w:bCs/>
          <w:kern w:val="1"/>
          <w:sz w:val="36"/>
          <w:szCs w:val="36"/>
          <w:lang w:val="es-ES"/>
        </w:rPr>
      </w:pPr>
      <w:r w:rsidRPr="009F19C2">
        <w:rPr>
          <w:rFonts w:ascii="Arial" w:eastAsia="Verdana" w:hAnsi="Arial" w:cs="Arial"/>
          <w:b/>
          <w:bCs/>
          <w:kern w:val="1"/>
          <w:sz w:val="36"/>
          <w:szCs w:val="36"/>
          <w:lang w:val="es-ES"/>
        </w:rPr>
        <w:t>Es dudoso que los productos y suplementos de soja</w:t>
      </w:r>
    </w:p>
    <w:p w:rsidR="0035135F" w:rsidRDefault="009F19C2" w:rsidP="009F19C2">
      <w:pPr>
        <w:suppressAutoHyphens w:val="0"/>
        <w:spacing w:line="240" w:lineRule="atLeast"/>
        <w:jc w:val="left"/>
        <w:rPr>
          <w:rFonts w:ascii="Arial" w:eastAsia="Verdana" w:hAnsi="Arial" w:cs="Arial"/>
          <w:b/>
          <w:bCs/>
          <w:kern w:val="1"/>
          <w:sz w:val="36"/>
          <w:szCs w:val="36"/>
          <w:lang w:val="es-ES"/>
        </w:rPr>
      </w:pPr>
      <w:r w:rsidRPr="009F19C2">
        <w:rPr>
          <w:rFonts w:ascii="Arial" w:eastAsia="Verdana" w:hAnsi="Arial" w:cs="Arial"/>
          <w:b/>
          <w:bCs/>
          <w:kern w:val="1"/>
          <w:sz w:val="36"/>
          <w:szCs w:val="36"/>
          <w:lang w:val="es-ES"/>
        </w:rPr>
        <w:t xml:space="preserve">alivien los síntomas de la menopausia </w:t>
      </w:r>
      <w:r w:rsidR="00835FA1">
        <w:rPr>
          <w:rFonts w:ascii="Arial" w:eastAsia="Verdana" w:hAnsi="Arial" w:cs="Arial"/>
          <w:b/>
          <w:bCs/>
          <w:kern w:val="1"/>
          <w:sz w:val="36"/>
          <w:szCs w:val="36"/>
          <w:lang w:val="es-ES"/>
        </w:rPr>
        <w:t xml:space="preserve"> </w:t>
      </w:r>
    </w:p>
    <w:p w:rsidR="00AA42A1" w:rsidRDefault="00AA42A1" w:rsidP="0044078B">
      <w:pPr>
        <w:spacing w:after="120" w:line="100" w:lineRule="atLeast"/>
        <w:rPr>
          <w:rFonts w:ascii="Arial" w:hAnsi="Arial" w:cs="Arial"/>
          <w:b/>
          <w:lang w:val="es-ES"/>
        </w:rPr>
      </w:pPr>
      <w:r>
        <w:rPr>
          <w:rFonts w:ascii="Arial" w:eastAsia="Verdana" w:hAnsi="Arial" w:cs="Arial"/>
          <w:b/>
          <w:bCs/>
          <w:kern w:val="1"/>
          <w:sz w:val="36"/>
          <w:szCs w:val="36"/>
          <w:lang w:val="es-ES"/>
        </w:rPr>
        <w:t xml:space="preserve">   </w:t>
      </w:r>
    </w:p>
    <w:p w:rsidR="0027393F" w:rsidRDefault="0027393F" w:rsidP="0027393F">
      <w:pPr>
        <w:pStyle w:val="NormalWeb"/>
        <w:numPr>
          <w:ilvl w:val="0"/>
          <w:numId w:val="3"/>
        </w:numPr>
        <w:tabs>
          <w:tab w:val="left" w:pos="360"/>
        </w:tabs>
        <w:spacing w:line="240" w:lineRule="auto"/>
        <w:rPr>
          <w:rFonts w:ascii="Calibri" w:hAnsi="Calibri" w:cs="Calibri"/>
          <w:lang w:val="es-ES"/>
        </w:rPr>
      </w:pPr>
      <w:r w:rsidRPr="0027393F">
        <w:rPr>
          <w:rFonts w:ascii="Calibri" w:hAnsi="Calibri" w:cs="Calibri"/>
          <w:lang w:val="es-ES"/>
        </w:rPr>
        <w:t>La popularidad del consumo de los estrógenos vegetales en la menopausia no se</w:t>
      </w:r>
      <w:r>
        <w:rPr>
          <w:rFonts w:ascii="Calibri" w:hAnsi="Calibri" w:cs="Calibri"/>
          <w:lang w:val="es-ES"/>
        </w:rPr>
        <w:t xml:space="preserve"> </w:t>
      </w:r>
      <w:r w:rsidRPr="0027393F">
        <w:rPr>
          <w:rFonts w:ascii="Calibri" w:hAnsi="Calibri" w:cs="Calibri"/>
          <w:lang w:val="es-ES"/>
        </w:rPr>
        <w:t>fundamenta en pruebas científicas sólidas</w:t>
      </w:r>
      <w:r w:rsidR="00AB28BD" w:rsidRPr="0027393F">
        <w:rPr>
          <w:rFonts w:ascii="Calibri" w:hAnsi="Calibri" w:cs="Calibri"/>
          <w:lang w:val="es-ES"/>
        </w:rPr>
        <w:t xml:space="preserve"> </w:t>
      </w:r>
    </w:p>
    <w:p w:rsidR="0027393F" w:rsidRPr="00C26B7C" w:rsidRDefault="00C26B7C" w:rsidP="00C26B7C">
      <w:pPr>
        <w:pStyle w:val="NormalWeb"/>
        <w:numPr>
          <w:ilvl w:val="0"/>
          <w:numId w:val="3"/>
        </w:numPr>
        <w:tabs>
          <w:tab w:val="left" w:pos="360"/>
        </w:tabs>
        <w:rPr>
          <w:rFonts w:ascii="Calibri" w:hAnsi="Calibri" w:cs="Calibri"/>
          <w:lang w:val="es-ES"/>
        </w:rPr>
      </w:pPr>
      <w:r w:rsidRPr="00C26B7C">
        <w:rPr>
          <w:rFonts w:ascii="Calibri" w:hAnsi="Calibri" w:cs="Calibri"/>
          <w:lang w:val="es-ES"/>
        </w:rPr>
        <w:t>Hacen falta más estudios y de más calidad para determinar si los complementos</w:t>
      </w:r>
      <w:r>
        <w:rPr>
          <w:rFonts w:ascii="Calibri" w:hAnsi="Calibri" w:cs="Calibri"/>
          <w:lang w:val="es-ES"/>
        </w:rPr>
        <w:t xml:space="preserve"> </w:t>
      </w:r>
      <w:r w:rsidRPr="00C26B7C">
        <w:rPr>
          <w:rFonts w:ascii="Calibri" w:hAnsi="Calibri" w:cs="Calibri"/>
          <w:lang w:val="es-ES"/>
        </w:rPr>
        <w:t>dietéticos basados en la soja son o no son eficaces</w:t>
      </w:r>
    </w:p>
    <w:p w:rsidR="00AA42A1" w:rsidRDefault="00AA42A1">
      <w:pPr>
        <w:spacing w:line="100" w:lineRule="atLeast"/>
        <w:ind w:left="357"/>
        <w:rPr>
          <w:rFonts w:ascii="Calibri" w:hAnsi="Calibri" w:cs="Calibri"/>
          <w:b/>
          <w:bCs/>
          <w:lang w:val="es-ES"/>
        </w:rPr>
      </w:pPr>
    </w:p>
    <w:p w:rsidR="008B3D64" w:rsidRPr="00141D2C" w:rsidRDefault="00AA42A1" w:rsidP="008B3D64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b/>
          <w:lang w:val="es-ES"/>
        </w:rPr>
        <w:t xml:space="preserve">Barcelona, </w:t>
      </w:r>
      <w:r w:rsidR="00C26B7C">
        <w:rPr>
          <w:rFonts w:ascii="Calibri" w:hAnsi="Calibri" w:cs="Calibri"/>
          <w:b/>
          <w:lang w:val="es-ES"/>
        </w:rPr>
        <w:t>30</w:t>
      </w:r>
      <w:r w:rsidR="008D789E">
        <w:rPr>
          <w:rFonts w:ascii="Calibri" w:hAnsi="Calibri" w:cs="Calibri"/>
          <w:b/>
          <w:lang w:val="es-ES"/>
        </w:rPr>
        <w:t xml:space="preserve"> </w:t>
      </w:r>
      <w:r>
        <w:rPr>
          <w:rFonts w:ascii="Calibri" w:hAnsi="Calibri" w:cs="Calibri"/>
          <w:b/>
          <w:lang w:val="es-ES"/>
        </w:rPr>
        <w:t xml:space="preserve">de </w:t>
      </w:r>
      <w:r w:rsidR="00C26B7C">
        <w:rPr>
          <w:rFonts w:ascii="Calibri" w:hAnsi="Calibri" w:cs="Calibri"/>
          <w:b/>
          <w:lang w:val="es-ES"/>
        </w:rPr>
        <w:t>enero</w:t>
      </w:r>
      <w:r>
        <w:rPr>
          <w:rFonts w:ascii="Calibri" w:hAnsi="Calibri" w:cs="Calibri"/>
          <w:b/>
          <w:lang w:val="es-ES"/>
        </w:rPr>
        <w:t xml:space="preserve"> de </w:t>
      </w:r>
      <w:proofErr w:type="gramStart"/>
      <w:r w:rsidR="000224E6">
        <w:rPr>
          <w:rFonts w:ascii="Calibri" w:hAnsi="Calibri" w:cs="Calibri"/>
          <w:b/>
          <w:lang w:val="es-ES"/>
        </w:rPr>
        <w:t>2018</w:t>
      </w:r>
      <w:r w:rsidR="0098398D">
        <w:rPr>
          <w:rFonts w:ascii="Calibri" w:hAnsi="Calibri" w:cs="Calibri"/>
          <w:b/>
          <w:bCs/>
          <w:lang w:val="es-ES"/>
        </w:rPr>
        <w:t>.</w:t>
      </w:r>
      <w:r w:rsidR="000224E6">
        <w:rPr>
          <w:rFonts w:ascii="Calibri" w:hAnsi="Calibri" w:cs="Calibri"/>
          <w:b/>
          <w:bCs/>
          <w:lang w:val="es-ES"/>
        </w:rPr>
        <w:t>–</w:t>
      </w:r>
      <w:proofErr w:type="gramEnd"/>
      <w:r>
        <w:rPr>
          <w:rFonts w:ascii="Calibri" w:hAnsi="Calibri" w:cs="Calibri"/>
          <w:lang w:val="es-ES"/>
        </w:rPr>
        <w:t xml:space="preserve"> </w:t>
      </w:r>
      <w:r w:rsidR="008B3D64" w:rsidRPr="00141D2C">
        <w:rPr>
          <w:rFonts w:ascii="Calibri" w:hAnsi="Calibri" w:cs="Calibri"/>
          <w:lang w:val="es-ES"/>
        </w:rPr>
        <w:t xml:space="preserve">Una nueva evaluación de </w:t>
      </w:r>
      <w:proofErr w:type="spellStart"/>
      <w:r w:rsidR="008B3D64" w:rsidRPr="00141D2C">
        <w:rPr>
          <w:rFonts w:ascii="Calibri" w:hAnsi="Calibri" w:cs="Calibri"/>
          <w:lang w:val="es-ES"/>
        </w:rPr>
        <w:t>Nutrimedia</w:t>
      </w:r>
      <w:proofErr w:type="spellEnd"/>
      <w:r w:rsidR="008B3D64">
        <w:rPr>
          <w:rFonts w:ascii="Calibri" w:hAnsi="Calibri" w:cs="Calibri"/>
          <w:lang w:val="es-ES"/>
        </w:rPr>
        <w:t xml:space="preserve">, </w:t>
      </w:r>
      <w:r w:rsidR="008B3D64" w:rsidRPr="00F90BB4">
        <w:rPr>
          <w:rFonts w:ascii="Calibri" w:hAnsi="Calibri" w:cs="Calibri"/>
          <w:lang w:val="es-ES"/>
        </w:rPr>
        <w:t>un proyecto del Observatorio de la Comunicación Científica (OCC-UPF)</w:t>
      </w:r>
      <w:r w:rsidR="008B3D64">
        <w:rPr>
          <w:rFonts w:ascii="Calibri" w:hAnsi="Calibri" w:cs="Calibri"/>
          <w:lang w:val="es-ES"/>
        </w:rPr>
        <w:t xml:space="preserve"> en colaboración con el Centro Cochrane Iberoamericano (</w:t>
      </w:r>
      <w:proofErr w:type="spellStart"/>
      <w:r w:rsidR="008B3D64">
        <w:rPr>
          <w:rFonts w:ascii="Calibri" w:hAnsi="Calibri" w:cs="Calibri"/>
          <w:lang w:val="es-ES"/>
        </w:rPr>
        <w:t>CCIb</w:t>
      </w:r>
      <w:proofErr w:type="spellEnd"/>
      <w:r w:rsidR="008B3D64">
        <w:rPr>
          <w:rFonts w:ascii="Calibri" w:hAnsi="Calibri" w:cs="Calibri"/>
          <w:lang w:val="es-ES"/>
        </w:rPr>
        <w:t>),</w:t>
      </w:r>
      <w:r w:rsidR="008B3D64" w:rsidRPr="00A330EF">
        <w:rPr>
          <w:rFonts w:ascii="Calibri" w:hAnsi="Calibri" w:cs="Calibri"/>
          <w:lang w:val="es-ES"/>
        </w:rPr>
        <w:t xml:space="preserve"> </w:t>
      </w:r>
      <w:r w:rsidR="008B3D64" w:rsidRPr="00141D2C">
        <w:rPr>
          <w:rFonts w:ascii="Calibri" w:hAnsi="Calibri" w:cs="Calibri"/>
          <w:lang w:val="es-ES"/>
        </w:rPr>
        <w:t xml:space="preserve">pone de </w:t>
      </w:r>
      <w:r w:rsidR="008B3D64">
        <w:rPr>
          <w:rFonts w:ascii="Calibri" w:hAnsi="Calibri" w:cs="Calibri"/>
          <w:lang w:val="es-ES"/>
        </w:rPr>
        <w:t>relieve</w:t>
      </w:r>
      <w:r w:rsidR="008B3D64" w:rsidRPr="00141D2C">
        <w:rPr>
          <w:rFonts w:ascii="Calibri" w:hAnsi="Calibri" w:cs="Calibri"/>
          <w:lang w:val="es-ES"/>
        </w:rPr>
        <w:t xml:space="preserve"> la falta de datos científicos fiables para afirmar que el consumo de productos de soja es eficaz </w:t>
      </w:r>
      <w:r w:rsidR="008B3D64">
        <w:rPr>
          <w:rFonts w:ascii="Calibri" w:hAnsi="Calibri" w:cs="Calibri"/>
          <w:lang w:val="es-ES"/>
        </w:rPr>
        <w:t>para</w:t>
      </w:r>
      <w:r w:rsidR="008B3D64" w:rsidRPr="00141D2C">
        <w:rPr>
          <w:rFonts w:ascii="Calibri" w:hAnsi="Calibri" w:cs="Calibri"/>
          <w:lang w:val="es-ES"/>
        </w:rPr>
        <w:t xml:space="preserve"> aliviar los sofocos y otros síntomas asociados a la menopausia. El análisis de las numerosas investigaciones disponibles sobre los efectos del consumo de estrógenos vegetales de la soja para paliar el déficit hormonal de la menopausia y reducir sus síntomas ha determinado que la eficacia de estos productos es incierta</w:t>
      </w:r>
      <w:r w:rsidR="008B3D64">
        <w:rPr>
          <w:rFonts w:ascii="Calibri" w:hAnsi="Calibri" w:cs="Calibri"/>
          <w:lang w:val="es-ES"/>
        </w:rPr>
        <w:t>.</w:t>
      </w:r>
      <w:r w:rsidR="008B3D64" w:rsidRPr="00141D2C">
        <w:rPr>
          <w:rFonts w:ascii="Calibri" w:hAnsi="Calibri" w:cs="Calibri"/>
          <w:lang w:val="es-ES"/>
        </w:rPr>
        <w:t xml:space="preserve"> Esto significa que hacen falta más estudios y de más calidad para saber si estos complementos dietéticos funcionan o no. </w:t>
      </w:r>
      <w:r w:rsidR="008B3D64">
        <w:rPr>
          <w:rFonts w:ascii="Calibri" w:hAnsi="Calibri" w:cs="Calibri"/>
          <w:lang w:val="es-ES"/>
        </w:rPr>
        <w:t>L</w:t>
      </w:r>
      <w:r w:rsidR="008B3D64" w:rsidRPr="00A330EF">
        <w:rPr>
          <w:rFonts w:ascii="Calibri" w:hAnsi="Calibri" w:cs="Calibri"/>
          <w:lang w:val="es-ES"/>
        </w:rPr>
        <w:t xml:space="preserve">os análisis de </w:t>
      </w:r>
      <w:proofErr w:type="spellStart"/>
      <w:r w:rsidR="008B3D64" w:rsidRPr="00A330EF">
        <w:rPr>
          <w:rFonts w:ascii="Calibri" w:hAnsi="Calibri" w:cs="Calibri"/>
          <w:lang w:val="es-ES"/>
        </w:rPr>
        <w:t>Nut</w:t>
      </w:r>
      <w:r w:rsidR="008B3D64">
        <w:rPr>
          <w:rFonts w:ascii="Calibri" w:hAnsi="Calibri" w:cs="Calibri"/>
          <w:lang w:val="es-ES"/>
        </w:rPr>
        <w:t>r</w:t>
      </w:r>
      <w:r w:rsidR="008B3D64" w:rsidRPr="00A330EF">
        <w:rPr>
          <w:rFonts w:ascii="Calibri" w:hAnsi="Calibri" w:cs="Calibri"/>
          <w:lang w:val="es-ES"/>
        </w:rPr>
        <w:t>imedia</w:t>
      </w:r>
      <w:proofErr w:type="spellEnd"/>
      <w:r w:rsidR="008B3D64">
        <w:rPr>
          <w:rFonts w:ascii="Calibri" w:hAnsi="Calibri" w:cs="Calibri"/>
          <w:lang w:val="es-ES"/>
        </w:rPr>
        <w:t xml:space="preserve"> </w:t>
      </w:r>
      <w:r w:rsidR="008B3D64" w:rsidRPr="00A330EF">
        <w:rPr>
          <w:rFonts w:ascii="Calibri" w:hAnsi="Calibri" w:cs="Calibri"/>
          <w:lang w:val="es-ES"/>
        </w:rPr>
        <w:t>establecen cinco grados de certeza</w:t>
      </w:r>
      <w:r w:rsidR="008B3D64">
        <w:rPr>
          <w:rFonts w:ascii="Calibri" w:hAnsi="Calibri" w:cs="Calibri"/>
          <w:lang w:val="es-ES"/>
        </w:rPr>
        <w:t xml:space="preserve"> sobre los mensajes de alimentación y salud</w:t>
      </w:r>
      <w:r w:rsidR="008B3D64" w:rsidRPr="00A330EF">
        <w:rPr>
          <w:rFonts w:ascii="Calibri" w:hAnsi="Calibri" w:cs="Calibri"/>
          <w:lang w:val="es-ES"/>
        </w:rPr>
        <w:t>: cierto, probablemente cierto, probab</w:t>
      </w:r>
      <w:r w:rsidR="008B3D64">
        <w:rPr>
          <w:rFonts w:ascii="Calibri" w:hAnsi="Calibri" w:cs="Calibri"/>
          <w:lang w:val="es-ES"/>
        </w:rPr>
        <w:t>lemente falso, falso e incierto</w:t>
      </w:r>
      <w:r w:rsidR="008B3D64" w:rsidRPr="00A330EF">
        <w:rPr>
          <w:rFonts w:ascii="Calibri" w:hAnsi="Calibri" w:cs="Calibri"/>
          <w:lang w:val="es-ES"/>
        </w:rPr>
        <w:t>.</w:t>
      </w:r>
    </w:p>
    <w:p w:rsidR="008B3D64" w:rsidRPr="008B3D64" w:rsidRDefault="008B3D64" w:rsidP="008B3D64">
      <w:pPr>
        <w:rPr>
          <w:rFonts w:ascii="Calibri Light" w:hAnsi="Calibri Light"/>
          <w:lang w:val="es-ES"/>
        </w:rPr>
      </w:pPr>
    </w:p>
    <w:p w:rsidR="008B3D64" w:rsidRDefault="008B3D64" w:rsidP="008B3D64">
      <w:pPr>
        <w:rPr>
          <w:rFonts w:ascii="Calibri" w:eastAsia="Verdana" w:hAnsi="Calibri" w:cs="Calibri"/>
          <w:kern w:val="1"/>
          <w:lang w:val="es-ES"/>
        </w:rPr>
      </w:pPr>
      <w:r w:rsidRPr="002A3021">
        <w:rPr>
          <w:rFonts w:ascii="Calibri" w:eastAsia="Verdana" w:hAnsi="Calibri" w:cs="Calibri"/>
          <w:kern w:val="1"/>
          <w:lang w:val="es-ES"/>
        </w:rPr>
        <w:t xml:space="preserve">A pesar de la idea generalizada de que el consumo de soja y sus derivados mitiga los síntomas de la menopausia, el mensaje se considera incierto porque la evidencia científica disponible muestra que los </w:t>
      </w:r>
      <w:proofErr w:type="spellStart"/>
      <w:r w:rsidRPr="002A3021">
        <w:rPr>
          <w:rFonts w:ascii="Calibri" w:eastAsia="Verdana" w:hAnsi="Calibri" w:cs="Calibri"/>
          <w:kern w:val="1"/>
          <w:lang w:val="es-ES"/>
        </w:rPr>
        <w:t>fitoestrógenos</w:t>
      </w:r>
      <w:proofErr w:type="spellEnd"/>
      <w:r w:rsidRPr="002A3021">
        <w:rPr>
          <w:rFonts w:ascii="Calibri" w:eastAsia="Verdana" w:hAnsi="Calibri" w:cs="Calibri"/>
          <w:kern w:val="1"/>
          <w:lang w:val="es-ES"/>
        </w:rPr>
        <w:t xml:space="preserve"> (como las </w:t>
      </w:r>
      <w:proofErr w:type="spellStart"/>
      <w:r w:rsidRPr="002A3021">
        <w:rPr>
          <w:rFonts w:ascii="Calibri" w:eastAsia="Verdana" w:hAnsi="Calibri" w:cs="Calibri"/>
          <w:kern w:val="1"/>
          <w:lang w:val="es-ES"/>
        </w:rPr>
        <w:t>isoflavonas</w:t>
      </w:r>
      <w:proofErr w:type="spellEnd"/>
      <w:r w:rsidRPr="002A3021">
        <w:rPr>
          <w:rFonts w:ascii="Calibri" w:eastAsia="Verdana" w:hAnsi="Calibri" w:cs="Calibri"/>
          <w:kern w:val="1"/>
          <w:lang w:val="es-ES"/>
        </w:rPr>
        <w:t xml:space="preserve"> de la soja) no producen ningún efecto apreciable sobre los sofocos o, en todo caso, es mínimo; además, la confianza que merecen los resultados de las investigaciones es muy baja, según la evaluación de las evidencias disponibles realizada por </w:t>
      </w:r>
      <w:r>
        <w:rPr>
          <w:rFonts w:ascii="Calibri" w:eastAsia="Verdana" w:hAnsi="Calibri" w:cs="Calibri"/>
          <w:kern w:val="1"/>
          <w:lang w:val="es-ES"/>
        </w:rPr>
        <w:t xml:space="preserve">los </w:t>
      </w:r>
      <w:r w:rsidRPr="002A3021">
        <w:rPr>
          <w:rFonts w:ascii="Calibri" w:eastAsia="Verdana" w:hAnsi="Calibri" w:cs="Calibri"/>
          <w:kern w:val="1"/>
          <w:lang w:val="es-ES"/>
        </w:rPr>
        <w:t xml:space="preserve">investigadores de </w:t>
      </w:r>
      <w:proofErr w:type="spellStart"/>
      <w:r w:rsidRPr="002A3021">
        <w:rPr>
          <w:rFonts w:ascii="Calibri" w:eastAsia="Verdana" w:hAnsi="Calibri" w:cs="Calibri"/>
          <w:kern w:val="1"/>
          <w:lang w:val="es-ES"/>
        </w:rPr>
        <w:t>Nutrimedia</w:t>
      </w:r>
      <w:proofErr w:type="spellEnd"/>
      <w:r w:rsidRPr="002A3021">
        <w:rPr>
          <w:rFonts w:ascii="Calibri" w:eastAsia="Verdana" w:hAnsi="Calibri" w:cs="Calibri"/>
          <w:kern w:val="1"/>
          <w:lang w:val="es-ES"/>
        </w:rPr>
        <w:t xml:space="preserve">. Lo mismo sucede con los datos disponibles sobre los síntomas vaginales y cognitivos (deterioro de la memoria, etc.). Por tanto, solo </w:t>
      </w:r>
      <w:r>
        <w:rPr>
          <w:rFonts w:ascii="Calibri" w:eastAsia="Verdana" w:hAnsi="Calibri" w:cs="Calibri"/>
          <w:kern w:val="1"/>
          <w:lang w:val="es-ES"/>
        </w:rPr>
        <w:t>se puede concluir</w:t>
      </w:r>
      <w:r w:rsidRPr="002A3021">
        <w:rPr>
          <w:rFonts w:ascii="Calibri" w:eastAsia="Verdana" w:hAnsi="Calibri" w:cs="Calibri"/>
          <w:kern w:val="1"/>
          <w:lang w:val="es-ES"/>
        </w:rPr>
        <w:t xml:space="preserve"> que el alivio de los síntomas de la menopausia con el consumo de productos y suplementos de soja es hoy por hoy dudoso. </w:t>
      </w:r>
    </w:p>
    <w:p w:rsidR="008B3D64" w:rsidRPr="002A3021" w:rsidRDefault="008B3D64" w:rsidP="008B3D64">
      <w:pPr>
        <w:rPr>
          <w:rFonts w:ascii="Calibri" w:eastAsia="Verdana" w:hAnsi="Calibri" w:cs="Calibri"/>
          <w:kern w:val="1"/>
          <w:lang w:val="es-ES"/>
        </w:rPr>
      </w:pPr>
    </w:p>
    <w:p w:rsidR="008B3D64" w:rsidRPr="00141D2C" w:rsidRDefault="008B3D64" w:rsidP="008B3D64">
      <w:pPr>
        <w:rPr>
          <w:rFonts w:ascii="Calibri" w:hAnsi="Calibri" w:cs="Calibri"/>
          <w:lang w:val="es-ES"/>
        </w:rPr>
      </w:pPr>
      <w:r w:rsidRPr="00141D2C">
        <w:rPr>
          <w:rFonts w:ascii="Calibri" w:eastAsia="Verdana" w:hAnsi="Calibri" w:cs="Calibri"/>
          <w:kern w:val="1"/>
          <w:lang w:val="es-ES"/>
        </w:rPr>
        <w:lastRenderedPageBreak/>
        <w:t>En la década de 1990, la terapia de sustitución hormonal (TSH) fue ampliamente recomendada para tratar los síntomas asociados a la menopausia, hasta que se observó que presentaba demasiados riesgos para la salud (</w:t>
      </w:r>
      <w:proofErr w:type="spellStart"/>
      <w:r w:rsidRPr="00141D2C">
        <w:rPr>
          <w:rFonts w:ascii="Calibri" w:eastAsia="Verdana" w:hAnsi="Calibri" w:cs="Calibri"/>
          <w:kern w:val="1"/>
          <w:lang w:val="es-ES"/>
        </w:rPr>
        <w:t>tromboembolismos</w:t>
      </w:r>
      <w:proofErr w:type="spellEnd"/>
      <w:r w:rsidRPr="00141D2C">
        <w:rPr>
          <w:rFonts w:ascii="Calibri" w:eastAsia="Verdana" w:hAnsi="Calibri" w:cs="Calibri"/>
          <w:kern w:val="1"/>
          <w:lang w:val="es-ES"/>
        </w:rPr>
        <w:t xml:space="preserve">, ictus, diversos tipos de cáncer, deterioro cognitivo, etc.), para los beneficios que aportaba. Ahora, cuando esta terapia </w:t>
      </w:r>
      <w:r w:rsidRPr="00E87E78">
        <w:rPr>
          <w:rFonts w:ascii="Calibri" w:eastAsia="Verdana" w:hAnsi="Calibri" w:cs="Calibri"/>
          <w:kern w:val="1"/>
          <w:lang w:val="es-ES"/>
        </w:rPr>
        <w:t>se administra con mucha más cautela y de forma personalizada</w:t>
      </w:r>
      <w:r w:rsidRPr="00141D2C">
        <w:rPr>
          <w:rFonts w:ascii="Calibri" w:eastAsia="Verdana" w:hAnsi="Calibri" w:cs="Calibri"/>
          <w:kern w:val="1"/>
          <w:lang w:val="es-ES"/>
        </w:rPr>
        <w:t xml:space="preserve">, la esperanza se ha desplazado al tratamiento no farmacológico a base de </w:t>
      </w:r>
      <w:proofErr w:type="spellStart"/>
      <w:r w:rsidRPr="00141D2C">
        <w:rPr>
          <w:rFonts w:ascii="Calibri" w:eastAsia="Verdana" w:hAnsi="Calibri" w:cs="Calibri"/>
          <w:kern w:val="1"/>
          <w:lang w:val="es-ES"/>
        </w:rPr>
        <w:t>fitoestrógenos</w:t>
      </w:r>
      <w:proofErr w:type="spellEnd"/>
      <w:r w:rsidRPr="00141D2C">
        <w:rPr>
          <w:rFonts w:ascii="Calibri" w:eastAsia="Verdana" w:hAnsi="Calibri" w:cs="Calibri"/>
          <w:kern w:val="1"/>
          <w:lang w:val="es-ES"/>
        </w:rPr>
        <w:t xml:space="preserve"> (estrógenos vegetales) de la soja y productos derivados. Los </w:t>
      </w:r>
      <w:proofErr w:type="spellStart"/>
      <w:r w:rsidRPr="00141D2C">
        <w:rPr>
          <w:rFonts w:ascii="Calibri" w:eastAsia="Verdana" w:hAnsi="Calibri" w:cs="Calibri"/>
          <w:kern w:val="1"/>
          <w:lang w:val="es-ES"/>
        </w:rPr>
        <w:t>fitoestrógenos</w:t>
      </w:r>
      <w:proofErr w:type="spellEnd"/>
      <w:r w:rsidRPr="00141D2C">
        <w:rPr>
          <w:rFonts w:ascii="Calibri" w:eastAsia="Verdana" w:hAnsi="Calibri" w:cs="Calibri"/>
          <w:kern w:val="1"/>
          <w:lang w:val="es-ES"/>
        </w:rPr>
        <w:t xml:space="preserve"> que encontramos en la soja son las </w:t>
      </w:r>
      <w:proofErr w:type="spellStart"/>
      <w:r w:rsidRPr="00141D2C">
        <w:rPr>
          <w:rFonts w:ascii="Calibri" w:eastAsia="Verdana" w:hAnsi="Calibri" w:cs="Calibri"/>
          <w:kern w:val="1"/>
          <w:lang w:val="es-ES"/>
        </w:rPr>
        <w:t>isoflavonas</w:t>
      </w:r>
      <w:proofErr w:type="spellEnd"/>
      <w:r w:rsidRPr="00141D2C">
        <w:rPr>
          <w:rFonts w:ascii="Calibri" w:eastAsia="Verdana" w:hAnsi="Calibri" w:cs="Calibri"/>
          <w:kern w:val="1"/>
          <w:lang w:val="es-ES"/>
        </w:rPr>
        <w:t xml:space="preserve">, con una estructura muy parecida </w:t>
      </w:r>
      <w:r>
        <w:rPr>
          <w:rFonts w:ascii="Calibri" w:eastAsia="Verdana" w:hAnsi="Calibri" w:cs="Calibri"/>
          <w:kern w:val="1"/>
          <w:lang w:val="es-ES"/>
        </w:rPr>
        <w:t>a los estrógenos</w:t>
      </w:r>
      <w:r w:rsidRPr="00141D2C">
        <w:rPr>
          <w:rFonts w:ascii="Calibri" w:eastAsia="Verdana" w:hAnsi="Calibri" w:cs="Calibri"/>
          <w:iCs/>
          <w:kern w:val="1"/>
          <w:lang w:val="es-ES"/>
        </w:rPr>
        <w:t xml:space="preserve"> que genera el organismo. Estos compuestos parecen ejercer un efecto </w:t>
      </w:r>
      <w:proofErr w:type="spellStart"/>
      <w:r w:rsidRPr="00141D2C">
        <w:rPr>
          <w:rFonts w:ascii="Calibri" w:eastAsia="Verdana" w:hAnsi="Calibri" w:cs="Calibri"/>
          <w:iCs/>
          <w:kern w:val="1"/>
          <w:lang w:val="es-ES"/>
        </w:rPr>
        <w:t>estrogénico</w:t>
      </w:r>
      <w:proofErr w:type="spellEnd"/>
      <w:r w:rsidRPr="00141D2C">
        <w:rPr>
          <w:rFonts w:ascii="Calibri" w:eastAsia="Verdana" w:hAnsi="Calibri" w:cs="Calibri"/>
          <w:iCs/>
          <w:kern w:val="1"/>
          <w:lang w:val="es-ES"/>
        </w:rPr>
        <w:t xml:space="preserve"> o </w:t>
      </w:r>
      <w:proofErr w:type="spellStart"/>
      <w:r w:rsidRPr="00141D2C">
        <w:rPr>
          <w:rFonts w:ascii="Calibri" w:eastAsia="Verdana" w:hAnsi="Calibri" w:cs="Calibri"/>
          <w:iCs/>
          <w:kern w:val="1"/>
          <w:lang w:val="es-ES"/>
        </w:rPr>
        <w:t>antiestrogénico</w:t>
      </w:r>
      <w:proofErr w:type="spellEnd"/>
      <w:r w:rsidRPr="00141D2C">
        <w:rPr>
          <w:rFonts w:ascii="Calibri" w:eastAsia="Verdana" w:hAnsi="Calibri" w:cs="Calibri"/>
          <w:iCs/>
          <w:kern w:val="1"/>
          <w:lang w:val="es-ES"/>
        </w:rPr>
        <w:t xml:space="preserve"> dependiendo del nivel de estrógeno que haya en la sangre (</w:t>
      </w:r>
      <w:proofErr w:type="spellStart"/>
      <w:r w:rsidRPr="00141D2C">
        <w:rPr>
          <w:rFonts w:ascii="Calibri" w:eastAsia="Verdana" w:hAnsi="Calibri" w:cs="Calibri"/>
          <w:iCs/>
          <w:kern w:val="1"/>
          <w:lang w:val="es-ES"/>
        </w:rPr>
        <w:t>antiestrogénico</w:t>
      </w:r>
      <w:proofErr w:type="spellEnd"/>
      <w:r w:rsidRPr="00141D2C">
        <w:rPr>
          <w:rFonts w:ascii="Calibri" w:eastAsia="Verdana" w:hAnsi="Calibri" w:cs="Calibri"/>
          <w:iCs/>
          <w:kern w:val="1"/>
          <w:lang w:val="es-ES"/>
        </w:rPr>
        <w:t xml:space="preserve"> cuando el nivel de estrógeno plasmático es alto, </w:t>
      </w:r>
      <w:proofErr w:type="spellStart"/>
      <w:r w:rsidRPr="00141D2C">
        <w:rPr>
          <w:rFonts w:ascii="Calibri" w:eastAsia="Verdana" w:hAnsi="Calibri" w:cs="Calibri"/>
          <w:iCs/>
          <w:kern w:val="1"/>
          <w:lang w:val="es-ES"/>
        </w:rPr>
        <w:t>estrogénico</w:t>
      </w:r>
      <w:proofErr w:type="spellEnd"/>
      <w:r w:rsidRPr="00141D2C">
        <w:rPr>
          <w:rFonts w:ascii="Calibri" w:eastAsia="Verdana" w:hAnsi="Calibri" w:cs="Calibri"/>
          <w:iCs/>
          <w:kern w:val="1"/>
          <w:lang w:val="es-ES"/>
        </w:rPr>
        <w:t xml:space="preserve"> cuando es bajo).</w:t>
      </w:r>
    </w:p>
    <w:p w:rsidR="008B3D64" w:rsidRPr="00141D2C" w:rsidRDefault="008B3D64" w:rsidP="008B3D64">
      <w:pPr>
        <w:rPr>
          <w:rFonts w:ascii="Calibri" w:eastAsia="Verdana" w:hAnsi="Calibri" w:cs="Calibri"/>
          <w:kern w:val="1"/>
          <w:lang w:val="es-ES"/>
        </w:rPr>
      </w:pPr>
    </w:p>
    <w:p w:rsidR="008B3D64" w:rsidRPr="00CC4633" w:rsidRDefault="008B3D64" w:rsidP="008B3D64">
      <w:pPr>
        <w:rPr>
          <w:rFonts w:ascii="Calibri" w:hAnsi="Calibri" w:cs="Calibri"/>
          <w:lang w:val="es-ES"/>
        </w:rPr>
      </w:pPr>
      <w:r w:rsidRPr="00141D2C">
        <w:rPr>
          <w:rFonts w:ascii="Calibri" w:eastAsia="Verdana" w:hAnsi="Calibri" w:cs="Calibri"/>
          <w:kern w:val="1"/>
          <w:lang w:val="es-ES"/>
        </w:rPr>
        <w:t>La menopausia se inicia tras 12 meses sin menstruación. En esta nueva fase, los ovarios dejan de generar óvulos y se reduce la producción de hormonas femeninas (estrógenos y progestágenos), lo cual se relaciona con el final de la vida reproductiva de la mujer. Como consecuencia de estos cambios, algunas mujeres pueden presentar una variedad de síntomas o problemas de salud que pueden afectar a su calidad de vida: los sofocos se manifiestan afectan al 50-82% de las mujeres, mientras que síntomas vaginales como la sequedad o el dolor durante el coito (asociados con la atrofia vaginal) afectan al 47%. Existen otros síntomas como la alteración del sueño, la pérdida de memoria, la ansiedad, la depresión o la reducción del apetito sexual, entre otros, que no se ha acabado de demostrar que estén relacionados con la menopausia.</w:t>
      </w:r>
    </w:p>
    <w:p w:rsidR="00AA42A1" w:rsidRDefault="00AA42A1" w:rsidP="008B3D64">
      <w:pPr>
        <w:rPr>
          <w:rFonts w:ascii="Calibri" w:eastAsia="font43" w:hAnsi="Calibri" w:cs="Calibri"/>
          <w:lang w:val="es-ES"/>
        </w:rPr>
      </w:pPr>
    </w:p>
    <w:p w:rsidR="00B91077" w:rsidRDefault="00AA42A1" w:rsidP="0013203B">
      <w:pPr>
        <w:spacing w:line="240" w:lineRule="auto"/>
        <w:jc w:val="left"/>
        <w:rPr>
          <w:rFonts w:ascii="Calibri" w:eastAsia="Verdana" w:hAnsi="Calibri" w:cs="Calibri"/>
          <w:bCs/>
          <w:kern w:val="1"/>
          <w:lang w:val="es-ES"/>
        </w:rPr>
      </w:pPr>
      <w:r>
        <w:rPr>
          <w:rFonts w:ascii="Calibri" w:eastAsia="Verdana" w:hAnsi="Calibri" w:cs="Calibri"/>
          <w:b/>
          <w:bCs/>
          <w:kern w:val="1"/>
          <w:lang w:val="es-ES"/>
        </w:rPr>
        <w:t>Para acceder al informe técnico</w:t>
      </w:r>
      <w:r w:rsidR="00DA5D10" w:rsidRPr="00DA5D10">
        <w:rPr>
          <w:rFonts w:ascii="Calibri" w:eastAsia="Verdana" w:hAnsi="Calibri" w:cs="Calibri"/>
          <w:b/>
          <w:bCs/>
          <w:kern w:val="1"/>
          <w:lang w:val="es-ES"/>
        </w:rPr>
        <w:t xml:space="preserve">: </w:t>
      </w:r>
      <w:hyperlink r:id="rId7" w:history="1">
        <w:r w:rsidR="00DA5D10" w:rsidRPr="00F47424">
          <w:rPr>
            <w:rStyle w:val="Hipervnculo"/>
            <w:rFonts w:eastAsia="Verdana" w:cs="Calibri"/>
            <w:bCs/>
            <w:kern w:val="1"/>
            <w:lang w:eastAsia="ar-SA" w:bidi="ar-SA"/>
          </w:rPr>
          <w:t>https://tinyurl.com/yclzvl6a</w:t>
        </w:r>
      </w:hyperlink>
    </w:p>
    <w:p w:rsidR="00AA42A1" w:rsidRPr="0013203B" w:rsidRDefault="00AA42A1" w:rsidP="0013203B">
      <w:pPr>
        <w:spacing w:line="240" w:lineRule="auto"/>
        <w:jc w:val="left"/>
        <w:rPr>
          <w:lang w:val="es-ES"/>
        </w:rPr>
      </w:pPr>
    </w:p>
    <w:p w:rsidR="00AA42A1" w:rsidRDefault="00AA42A1" w:rsidP="0013203B">
      <w:pPr>
        <w:spacing w:line="240" w:lineRule="auto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b/>
          <w:bCs/>
          <w:lang w:val="es-ES"/>
        </w:rPr>
        <w:t xml:space="preserve">Sobre </w:t>
      </w:r>
      <w:proofErr w:type="spellStart"/>
      <w:r>
        <w:rPr>
          <w:rFonts w:ascii="Calibri" w:hAnsi="Calibri" w:cs="Calibri"/>
          <w:b/>
          <w:bCs/>
          <w:lang w:val="es-ES"/>
        </w:rPr>
        <w:t>Nutrimedia</w:t>
      </w:r>
      <w:proofErr w:type="spellEnd"/>
      <w:r w:rsidR="005C6FA2">
        <w:rPr>
          <w:rFonts w:ascii="Calibri" w:hAnsi="Calibri" w:cs="Calibri"/>
          <w:b/>
          <w:bCs/>
          <w:lang w:val="es-ES"/>
        </w:rPr>
        <w:t xml:space="preserve"> </w:t>
      </w:r>
      <w:r w:rsidR="005C6FA2" w:rsidRPr="0013203B">
        <w:rPr>
          <w:rFonts w:ascii="Calibri" w:hAnsi="Calibri" w:cs="Calibri"/>
          <w:bCs/>
          <w:lang w:val="es-ES"/>
        </w:rPr>
        <w:t>(www.upf.edu/web/nutrimedia)</w:t>
      </w:r>
    </w:p>
    <w:p w:rsidR="00D32CCF" w:rsidRPr="00D42A74" w:rsidRDefault="00D32CCF" w:rsidP="00D32CCF">
      <w:pPr>
        <w:spacing w:line="240" w:lineRule="auto"/>
        <w:rPr>
          <w:lang w:val="es-ES"/>
        </w:rPr>
      </w:pPr>
      <w:proofErr w:type="spellStart"/>
      <w:r>
        <w:rPr>
          <w:rFonts w:ascii="Calibri" w:eastAsia="font43" w:hAnsi="Calibri" w:cs="Calibri"/>
          <w:sz w:val="20"/>
          <w:szCs w:val="20"/>
          <w:lang w:val="es-ES"/>
        </w:rPr>
        <w:t>Nutrimedia</w:t>
      </w:r>
      <w:proofErr w:type="spellEnd"/>
      <w:r>
        <w:rPr>
          <w:rFonts w:ascii="Calibri" w:eastAsia="font43" w:hAnsi="Calibri" w:cs="Calibri"/>
          <w:sz w:val="20"/>
          <w:szCs w:val="20"/>
          <w:lang w:val="es-ES"/>
        </w:rPr>
        <w:t xml:space="preserve"> es un proyecto del Observatorio de la Comunicación Científica de la Universidad </w:t>
      </w:r>
      <w:proofErr w:type="spellStart"/>
      <w:r>
        <w:rPr>
          <w:rFonts w:ascii="Calibri" w:eastAsia="font43" w:hAnsi="Calibri" w:cs="Calibri"/>
          <w:sz w:val="20"/>
          <w:szCs w:val="20"/>
          <w:lang w:val="es-ES"/>
        </w:rPr>
        <w:t>Pompeu</w:t>
      </w:r>
      <w:proofErr w:type="spellEnd"/>
      <w:r>
        <w:rPr>
          <w:rFonts w:ascii="Calibri" w:eastAsia="font43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eastAsia="font43" w:hAnsi="Calibri" w:cs="Calibri"/>
          <w:sz w:val="20"/>
          <w:szCs w:val="20"/>
          <w:lang w:val="es-ES"/>
        </w:rPr>
        <w:t>Fabra</w:t>
      </w:r>
      <w:proofErr w:type="spellEnd"/>
      <w:r>
        <w:rPr>
          <w:rFonts w:ascii="Calibri" w:eastAsia="font43" w:hAnsi="Calibri" w:cs="Calibri"/>
          <w:sz w:val="20"/>
          <w:szCs w:val="20"/>
          <w:lang w:val="es-ES"/>
        </w:rPr>
        <w:t xml:space="preserve"> (OCC-UPF), en colaboración del Centro Cochrane Iberoamérica (</w:t>
      </w:r>
      <w:proofErr w:type="spellStart"/>
      <w:r>
        <w:rPr>
          <w:rFonts w:ascii="Calibri" w:eastAsia="font43" w:hAnsi="Calibri" w:cs="Calibri"/>
          <w:sz w:val="20"/>
          <w:szCs w:val="20"/>
          <w:lang w:val="es-ES"/>
        </w:rPr>
        <w:t>CCIb</w:t>
      </w:r>
      <w:proofErr w:type="spellEnd"/>
      <w:r>
        <w:rPr>
          <w:rFonts w:ascii="Calibri" w:eastAsia="font43" w:hAnsi="Calibri" w:cs="Calibri"/>
          <w:sz w:val="20"/>
          <w:szCs w:val="20"/>
          <w:lang w:val="es-ES"/>
        </w:rPr>
        <w:t xml:space="preserve">), que </w:t>
      </w:r>
      <w:r>
        <w:rPr>
          <w:rFonts w:ascii="Calibri" w:hAnsi="Calibri" w:cs="Calibri"/>
          <w:sz w:val="20"/>
          <w:szCs w:val="20"/>
          <w:lang w:val="es-ES"/>
        </w:rPr>
        <w:t>evalúa el grado de confianza científica que merecen algunos mensajes sobre alimentación y salud (noticias, anuncios, mitos y preguntas del público). Los resultados de las evaluaciones, que se publican en la web del proyecto, pretenden ofrecer datos y criterios científicos para ayudar a los ciudadanos a tomar decisiones informadas sobre alimentación y salud.</w:t>
      </w:r>
      <w:r>
        <w:rPr>
          <w:rFonts w:ascii="Calibri" w:eastAsia="font43" w:hAnsi="Calibri" w:cs="Calibri"/>
          <w:lang w:val="es-ES"/>
        </w:rPr>
        <w:t xml:space="preserve"> </w:t>
      </w:r>
      <w:r>
        <w:rPr>
          <w:rFonts w:ascii="Calibri" w:eastAsia="font43" w:hAnsi="Calibri" w:cs="Calibri"/>
          <w:sz w:val="20"/>
          <w:szCs w:val="20"/>
          <w:lang w:val="es-ES"/>
        </w:rPr>
        <w:t xml:space="preserve">El OCC-UPF es un centro especial de investigación para el estudio de la transmisión de conocimientos científicos y tecnológicos a la sociedad, y el análisis de la relación entre ciencia, medios de comunicación y sociedad. El </w:t>
      </w:r>
      <w:proofErr w:type="spellStart"/>
      <w:r>
        <w:rPr>
          <w:rFonts w:ascii="Calibri" w:eastAsia="font43" w:hAnsi="Calibri" w:cs="Calibri"/>
          <w:sz w:val="20"/>
          <w:szCs w:val="20"/>
          <w:lang w:val="es-ES"/>
        </w:rPr>
        <w:t>CCIb</w:t>
      </w:r>
      <w:proofErr w:type="spellEnd"/>
      <w:r>
        <w:rPr>
          <w:rFonts w:ascii="Calibri" w:eastAsia="font43" w:hAnsi="Calibri" w:cs="Calibri"/>
          <w:sz w:val="20"/>
          <w:szCs w:val="20"/>
          <w:lang w:val="es-ES"/>
        </w:rPr>
        <w:t xml:space="preserve"> es uno de los 14 centros internacionales de la Colaboración Cochrane, una organización internacional que con sus revisiones sistemáticas de los mejores datos de la investigación ha contribuido a transformar en los últimos 20 años la manera en que se toman las decisiones sobre las intervenciones de salud.</w:t>
      </w:r>
      <w:r>
        <w:rPr>
          <w:rFonts w:ascii="Calibri" w:eastAsia="font43" w:hAnsi="Calibri" w:cs="Calibri"/>
          <w:lang w:val="es-ES"/>
        </w:rPr>
        <w:t xml:space="preserve"> </w:t>
      </w:r>
    </w:p>
    <w:p w:rsidR="00AA42A1" w:rsidRPr="00D42A74" w:rsidRDefault="00AA42A1">
      <w:pPr>
        <w:spacing w:line="100" w:lineRule="atLeast"/>
        <w:rPr>
          <w:lang w:val="es-ES"/>
        </w:rPr>
      </w:pPr>
      <w:bookmarkStart w:id="0" w:name="_GoBack"/>
      <w:bookmarkEnd w:id="0"/>
    </w:p>
    <w:p w:rsidR="00AA42A1" w:rsidRDefault="00AA42A1">
      <w:pPr>
        <w:spacing w:line="100" w:lineRule="atLeast"/>
        <w:jc w:val="right"/>
        <w:rPr>
          <w:rFonts w:ascii="Calibri" w:eastAsia="Times-Roman" w:hAnsi="Calibri" w:cs="Calibri"/>
          <w:b/>
          <w:bCs/>
          <w:kern w:val="1"/>
          <w:lang w:val="es-ES"/>
        </w:rPr>
      </w:pPr>
      <w:r>
        <w:rPr>
          <w:rFonts w:ascii="Calibri" w:eastAsia="Times-Roman" w:hAnsi="Calibri" w:cs="Calibri"/>
          <w:kern w:val="1"/>
          <w:lang w:val="es-ES"/>
        </w:rPr>
        <w:t>Para más información, contactar con:</w:t>
      </w:r>
    </w:p>
    <w:p w:rsidR="00AA42A1" w:rsidRDefault="00AA42A1">
      <w:pPr>
        <w:spacing w:line="100" w:lineRule="atLeast"/>
        <w:jc w:val="right"/>
        <w:rPr>
          <w:rFonts w:ascii="Calibri" w:eastAsia="Times-Roman" w:hAnsi="Calibri" w:cs="Calibri"/>
          <w:bCs/>
          <w:kern w:val="1"/>
          <w:lang w:val="es-ES"/>
        </w:rPr>
      </w:pPr>
      <w:r>
        <w:rPr>
          <w:rFonts w:ascii="Calibri" w:eastAsia="Times-Roman" w:hAnsi="Calibri" w:cs="Calibri"/>
          <w:b/>
          <w:bCs/>
          <w:kern w:val="1"/>
          <w:lang w:val="es-ES"/>
        </w:rPr>
        <w:t xml:space="preserve">Alba Irigoyen Gómez </w:t>
      </w:r>
    </w:p>
    <w:p w:rsidR="00AA42A1" w:rsidRDefault="00AA42A1">
      <w:pPr>
        <w:spacing w:line="100" w:lineRule="atLeast"/>
        <w:jc w:val="right"/>
        <w:rPr>
          <w:rFonts w:ascii="Calibri" w:eastAsia="Times-Roman" w:hAnsi="Calibri" w:cs="Calibri"/>
          <w:kern w:val="1"/>
          <w:lang w:val="es-ES"/>
        </w:rPr>
      </w:pPr>
      <w:r>
        <w:rPr>
          <w:rFonts w:ascii="Calibri" w:eastAsia="Times-Roman" w:hAnsi="Calibri" w:cs="Calibri"/>
          <w:bCs/>
          <w:kern w:val="1"/>
          <w:lang w:val="es-ES"/>
        </w:rPr>
        <w:t>R</w:t>
      </w:r>
      <w:r>
        <w:rPr>
          <w:rFonts w:ascii="Calibri" w:eastAsia="Times-Roman" w:hAnsi="Calibri" w:cs="Calibri"/>
          <w:kern w:val="1"/>
          <w:lang w:val="es-ES"/>
        </w:rPr>
        <w:t xml:space="preserve">esponsable de comunicación de </w:t>
      </w:r>
      <w:proofErr w:type="spellStart"/>
      <w:r>
        <w:rPr>
          <w:rFonts w:ascii="Calibri" w:eastAsia="Times-Roman" w:hAnsi="Calibri" w:cs="Calibri"/>
          <w:kern w:val="1"/>
          <w:lang w:val="es-ES"/>
        </w:rPr>
        <w:t>Nutrimedia</w:t>
      </w:r>
      <w:proofErr w:type="spellEnd"/>
      <w:r>
        <w:rPr>
          <w:rFonts w:ascii="Calibri" w:eastAsia="Times-Roman" w:hAnsi="Calibri" w:cs="Calibri"/>
          <w:kern w:val="1"/>
          <w:lang w:val="es-ES"/>
        </w:rPr>
        <w:t xml:space="preserve"> (OCC-UPF)</w:t>
      </w:r>
    </w:p>
    <w:p w:rsidR="00AA42A1" w:rsidRDefault="00AA42A1">
      <w:pPr>
        <w:spacing w:line="100" w:lineRule="atLeast"/>
        <w:jc w:val="right"/>
      </w:pPr>
      <w:r>
        <w:rPr>
          <w:rFonts w:ascii="Calibri" w:eastAsia="Times-Roman" w:hAnsi="Calibri" w:cs="Calibri"/>
          <w:kern w:val="1"/>
          <w:lang w:val="es-ES"/>
        </w:rPr>
        <w:t>nutrimedia@upf.edu | Tel. 669 999 343</w:t>
      </w:r>
    </w:p>
    <w:sectPr w:rsidR="00AA42A1" w:rsidSect="0013203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134" w:bottom="1021" w:left="1304" w:header="850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784" w:rsidRDefault="007D3784">
      <w:pPr>
        <w:spacing w:line="240" w:lineRule="auto"/>
      </w:pPr>
      <w:r>
        <w:separator/>
      </w:r>
    </w:p>
  </w:endnote>
  <w:endnote w:type="continuationSeparator" w:id="0">
    <w:p w:rsidR="007D3784" w:rsidRDefault="007D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nt43">
    <w:altName w:val="Yu Gothic"/>
    <w:panose1 w:val="020B0604020202020204"/>
    <w:charset w:val="80"/>
    <w:family w:val="swiss"/>
    <w:pitch w:val="default"/>
  </w:font>
  <w:font w:name="Times-Roman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7CE" w:rsidRDefault="009D37CE">
    <w:pPr>
      <w:pStyle w:val="EpigrafeInfo"/>
      <w:ind w:right="360"/>
      <w:jc w:val="left"/>
    </w:pPr>
  </w:p>
  <w:p w:rsidR="00AA42A1" w:rsidRDefault="00AA42A1">
    <w:pPr>
      <w:pStyle w:val="EpigrafeInfo"/>
      <w:ind w:right="360"/>
      <w:jc w:val="left"/>
    </w:pPr>
    <w:proofErr w:type="spellStart"/>
    <w:r>
      <w:t>NutriMedia</w:t>
    </w:r>
    <w:proofErr w:type="spellEnd"/>
    <w:r>
      <w:t xml:space="preserve"> (www.upf.edu/web/nutrimedia) es un proyecto del Observatorio de la Comunicación Científica-UPF, con la colaboración del Centro Cochrane Iberoamérica y la Fundación Española para la Ciencia y la Tecnología-MINECO.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7CE" w:rsidRDefault="009D37CE">
    <w:pPr>
      <w:pStyle w:val="EpigrafeInfo"/>
      <w:ind w:right="360"/>
      <w:jc w:val="left"/>
    </w:pPr>
  </w:p>
  <w:p w:rsidR="00AA42A1" w:rsidRDefault="00AA42A1">
    <w:pPr>
      <w:pStyle w:val="EpigrafeInfo"/>
      <w:ind w:right="360"/>
      <w:jc w:val="left"/>
    </w:pPr>
    <w:proofErr w:type="spellStart"/>
    <w:r>
      <w:t>NutriMedia</w:t>
    </w:r>
    <w:proofErr w:type="spellEnd"/>
    <w:r>
      <w:t xml:space="preserve"> (www.upf.edu/web/nutrimedia) es un proyecto del Observatorio de la Comunicación Científica-UPF, con la colaboración del Centro Cochrane Iberoamérica y la Fundación Española para la Ciencia y la Tecnología-MINECO.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784" w:rsidRDefault="007D3784">
      <w:pPr>
        <w:spacing w:line="240" w:lineRule="auto"/>
      </w:pPr>
      <w:r>
        <w:separator/>
      </w:r>
    </w:p>
  </w:footnote>
  <w:footnote w:type="continuationSeparator" w:id="0">
    <w:p w:rsidR="007D3784" w:rsidRDefault="007D3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A1" w:rsidRDefault="00D32CCF" w:rsidP="0013203B">
    <w:r w:rsidRPr="002F7A05">
      <w:rPr>
        <w:noProof/>
        <w:lang w:val="es-ES" w:eastAsia="es-ES"/>
      </w:rPr>
      <w:drawing>
        <wp:inline distT="0" distB="0" distL="0" distR="0">
          <wp:extent cx="5924550" cy="180975"/>
          <wp:effectExtent l="0" t="0" r="0" b="0"/>
          <wp:docPr id="1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31"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42A1" w:rsidRDefault="00AA42A1">
    <w:pPr>
      <w:pStyle w:val="TXT-informativo"/>
      <w:tabs>
        <w:tab w:val="right" w:pos="8660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A1" w:rsidRDefault="00D32CCF">
    <w:pPr>
      <w:pStyle w:val="TXT-informativo"/>
      <w:tabs>
        <w:tab w:val="right" w:pos="8660"/>
      </w:tabs>
      <w:ind w:right="360"/>
    </w:pPr>
    <w:r>
      <w:rPr>
        <w:noProof/>
      </w:rPr>
      <w:drawing>
        <wp:inline distT="0" distB="0" distL="0" distR="0">
          <wp:extent cx="5915025" cy="542925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A42A1" w:rsidRDefault="00AA42A1">
    <w:pPr>
      <w:pStyle w:val="TXT-informativo"/>
      <w:tabs>
        <w:tab w:val="right" w:pos="8660"/>
      </w:tabs>
      <w:ind w:right="360"/>
    </w:pPr>
  </w:p>
  <w:p w:rsidR="00AA42A1" w:rsidRDefault="00AA42A1">
    <w:pPr>
      <w:pStyle w:val="TXT-informativo"/>
      <w:tabs>
        <w:tab w:val="right" w:pos="866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 w:val="es-E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lang w:val="es-E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74"/>
    <w:rsid w:val="000224E6"/>
    <w:rsid w:val="0002574D"/>
    <w:rsid w:val="00057586"/>
    <w:rsid w:val="0006380A"/>
    <w:rsid w:val="00064ACD"/>
    <w:rsid w:val="0009336A"/>
    <w:rsid w:val="000A2E9C"/>
    <w:rsid w:val="000A2F3C"/>
    <w:rsid w:val="000B31E9"/>
    <w:rsid w:val="000C1D47"/>
    <w:rsid w:val="000E4D1F"/>
    <w:rsid w:val="00102615"/>
    <w:rsid w:val="0013203B"/>
    <w:rsid w:val="00150EAD"/>
    <w:rsid w:val="00151FA1"/>
    <w:rsid w:val="00155706"/>
    <w:rsid w:val="00182F21"/>
    <w:rsid w:val="00187758"/>
    <w:rsid w:val="001979A3"/>
    <w:rsid w:val="0027393F"/>
    <w:rsid w:val="00276501"/>
    <w:rsid w:val="0028551C"/>
    <w:rsid w:val="002972E6"/>
    <w:rsid w:val="002B4D1B"/>
    <w:rsid w:val="002C39E5"/>
    <w:rsid w:val="002D65FC"/>
    <w:rsid w:val="002F5C85"/>
    <w:rsid w:val="002F65C6"/>
    <w:rsid w:val="002F6F1E"/>
    <w:rsid w:val="002F7A05"/>
    <w:rsid w:val="003055B8"/>
    <w:rsid w:val="00305E46"/>
    <w:rsid w:val="003360B6"/>
    <w:rsid w:val="0035135F"/>
    <w:rsid w:val="00355253"/>
    <w:rsid w:val="003822A6"/>
    <w:rsid w:val="00383FF7"/>
    <w:rsid w:val="00384E18"/>
    <w:rsid w:val="003B4ECB"/>
    <w:rsid w:val="003B5597"/>
    <w:rsid w:val="003C4E18"/>
    <w:rsid w:val="003E433B"/>
    <w:rsid w:val="003F2F5A"/>
    <w:rsid w:val="00404584"/>
    <w:rsid w:val="00432481"/>
    <w:rsid w:val="0044078B"/>
    <w:rsid w:val="00464C82"/>
    <w:rsid w:val="004B6D9B"/>
    <w:rsid w:val="004E22E3"/>
    <w:rsid w:val="00503394"/>
    <w:rsid w:val="005165C5"/>
    <w:rsid w:val="00521690"/>
    <w:rsid w:val="005516B7"/>
    <w:rsid w:val="0056067D"/>
    <w:rsid w:val="00567285"/>
    <w:rsid w:val="00591D39"/>
    <w:rsid w:val="005A6E85"/>
    <w:rsid w:val="005C32F2"/>
    <w:rsid w:val="005C6FA2"/>
    <w:rsid w:val="00631653"/>
    <w:rsid w:val="00644266"/>
    <w:rsid w:val="006465FD"/>
    <w:rsid w:val="006A4256"/>
    <w:rsid w:val="007327D2"/>
    <w:rsid w:val="00735378"/>
    <w:rsid w:val="007530C1"/>
    <w:rsid w:val="00783E19"/>
    <w:rsid w:val="00784379"/>
    <w:rsid w:val="007B6105"/>
    <w:rsid w:val="007D3784"/>
    <w:rsid w:val="007F00A3"/>
    <w:rsid w:val="007F7D27"/>
    <w:rsid w:val="00805813"/>
    <w:rsid w:val="00835FA1"/>
    <w:rsid w:val="00866B0C"/>
    <w:rsid w:val="00881B78"/>
    <w:rsid w:val="008A66B7"/>
    <w:rsid w:val="008B3D64"/>
    <w:rsid w:val="008C7722"/>
    <w:rsid w:val="008D789E"/>
    <w:rsid w:val="008F3538"/>
    <w:rsid w:val="00911CC5"/>
    <w:rsid w:val="00914162"/>
    <w:rsid w:val="0093451E"/>
    <w:rsid w:val="00937159"/>
    <w:rsid w:val="009513BE"/>
    <w:rsid w:val="00980143"/>
    <w:rsid w:val="00983201"/>
    <w:rsid w:val="0098398D"/>
    <w:rsid w:val="009A3712"/>
    <w:rsid w:val="009A7D7D"/>
    <w:rsid w:val="009C4730"/>
    <w:rsid w:val="009C6EFE"/>
    <w:rsid w:val="009D37CE"/>
    <w:rsid w:val="009F19C2"/>
    <w:rsid w:val="00A04C86"/>
    <w:rsid w:val="00A24407"/>
    <w:rsid w:val="00A32438"/>
    <w:rsid w:val="00A764C6"/>
    <w:rsid w:val="00AA42A1"/>
    <w:rsid w:val="00AB28BD"/>
    <w:rsid w:val="00AB49B9"/>
    <w:rsid w:val="00AF29BE"/>
    <w:rsid w:val="00B42F30"/>
    <w:rsid w:val="00B91077"/>
    <w:rsid w:val="00BB6D31"/>
    <w:rsid w:val="00BD0C63"/>
    <w:rsid w:val="00BD4FEB"/>
    <w:rsid w:val="00BD58FA"/>
    <w:rsid w:val="00BF0F9F"/>
    <w:rsid w:val="00C02196"/>
    <w:rsid w:val="00C05B45"/>
    <w:rsid w:val="00C139A0"/>
    <w:rsid w:val="00C20154"/>
    <w:rsid w:val="00C26B7C"/>
    <w:rsid w:val="00C43875"/>
    <w:rsid w:val="00C602B7"/>
    <w:rsid w:val="00C72922"/>
    <w:rsid w:val="00CB11A6"/>
    <w:rsid w:val="00CB7771"/>
    <w:rsid w:val="00CC1BE8"/>
    <w:rsid w:val="00CD2307"/>
    <w:rsid w:val="00CE5345"/>
    <w:rsid w:val="00CF46F9"/>
    <w:rsid w:val="00D00AB7"/>
    <w:rsid w:val="00D11AE0"/>
    <w:rsid w:val="00D32CCF"/>
    <w:rsid w:val="00D42A74"/>
    <w:rsid w:val="00D65CC4"/>
    <w:rsid w:val="00DA5D10"/>
    <w:rsid w:val="00DA77BA"/>
    <w:rsid w:val="00E055AE"/>
    <w:rsid w:val="00E63462"/>
    <w:rsid w:val="00E935E2"/>
    <w:rsid w:val="00EB789B"/>
    <w:rsid w:val="00EC0F39"/>
    <w:rsid w:val="00F02254"/>
    <w:rsid w:val="00F40B90"/>
    <w:rsid w:val="00F57B48"/>
    <w:rsid w:val="00F84F6C"/>
    <w:rsid w:val="00FD3521"/>
    <w:rsid w:val="00F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D605A7B-4D7C-774D-BC04-E2860807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Cambria" w:eastAsia="MS ??" w:hAnsi="Cambria" w:cs="Cambria"/>
      <w:color w:val="000000"/>
      <w:sz w:val="24"/>
      <w:szCs w:val="24"/>
      <w:lang w:val="en-US" w:eastAsia="ar-SA"/>
    </w:rPr>
  </w:style>
  <w:style w:type="paragraph" w:styleId="Ttulo1">
    <w:name w:val="heading 1"/>
    <w:basedOn w:val="Normal"/>
    <w:next w:val="Textoindependiente"/>
    <w:qFormat/>
    <w:pPr>
      <w:numPr>
        <w:numId w:val="1"/>
      </w:numPr>
      <w:outlineLvl w:val="0"/>
    </w:pPr>
    <w:rPr>
      <w:rFonts w:ascii="Calibri" w:hAnsi="Calibri" w:cs="Times New Roman"/>
      <w:b/>
      <w:color w:val="00000A"/>
      <w:sz w:val="28"/>
      <w:szCs w:val="28"/>
      <w:lang w:val="es-ES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uppressAutoHyphens/>
      <w:spacing w:before="240" w:line="360" w:lineRule="auto"/>
      <w:jc w:val="both"/>
      <w:outlineLvl w:val="1"/>
    </w:pPr>
    <w:rPr>
      <w:rFonts w:ascii="Cambria" w:eastAsia="Arial Unicode MS" w:hAnsi="Cambria" w:cs="Cambria"/>
      <w:b/>
      <w:sz w:val="24"/>
      <w:lang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s-E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Ttulo1Car">
    <w:name w:val="Título 1 Car"/>
    <w:rPr>
      <w:rFonts w:ascii="Calibri" w:eastAsia="MS ??" w:hAnsi="Calibri" w:cs="Times New Roman"/>
      <w:b/>
      <w:sz w:val="28"/>
      <w:szCs w:val="28"/>
      <w:lang w:val="es-ES"/>
    </w:rPr>
  </w:style>
  <w:style w:type="character" w:customStyle="1" w:styleId="Ttulo2Car">
    <w:name w:val="Título 2 Car"/>
    <w:rPr>
      <w:rFonts w:ascii="Calibri" w:eastAsia="MS ??" w:hAnsi="Calibri" w:cs="Times New Roman"/>
      <w:b/>
      <w:szCs w:val="20"/>
      <w:lang w:val="en-US"/>
    </w:rPr>
  </w:style>
  <w:style w:type="character" w:customStyle="1" w:styleId="EncabezadoCar">
    <w:name w:val="Encabezado Car"/>
    <w:rPr>
      <w:rFonts w:ascii="Cambria" w:eastAsia="MS ??" w:hAnsi="Cambria" w:cs="Times New Roman"/>
      <w:sz w:val="20"/>
      <w:szCs w:val="20"/>
      <w:lang w:val="es-ES"/>
    </w:rPr>
  </w:style>
  <w:style w:type="character" w:customStyle="1" w:styleId="PiedepginaCar">
    <w:name w:val="Pie de página Car"/>
    <w:rPr>
      <w:rFonts w:ascii="Cambria" w:eastAsia="MS ??" w:hAnsi="Cambria" w:cs="Times New Roman"/>
      <w:sz w:val="20"/>
      <w:szCs w:val="20"/>
      <w:lang w:val="es-ES"/>
    </w:rPr>
  </w:style>
  <w:style w:type="character" w:customStyle="1" w:styleId="pagenumber">
    <w:name w:val="page number"/>
    <w:rPr>
      <w:rFonts w:cs="Times New Roman"/>
    </w:rPr>
  </w:style>
  <w:style w:type="character" w:customStyle="1" w:styleId="TextodegloboCar">
    <w:name w:val="Texto de globo Car"/>
    <w:rPr>
      <w:rFonts w:ascii="Lucida Grande" w:eastAsia="MS ??" w:hAnsi="Lucida Grande" w:cs="Lucida Grande"/>
      <w:color w:val="000000"/>
      <w:sz w:val="18"/>
      <w:szCs w:val="18"/>
      <w:lang w:val="en-US"/>
    </w:rPr>
  </w:style>
  <w:style w:type="character" w:styleId="Hipervnculo">
    <w:name w:val="Hyperlink"/>
    <w:rPr>
      <w:rFonts w:ascii="Calibri" w:hAnsi="Calibri" w:cs="Arial"/>
      <w:color w:val="1F497D"/>
      <w:u w:val="single"/>
      <w:lang w:val="es-ES"/>
    </w:rPr>
  </w:style>
  <w:style w:type="character" w:styleId="Textoennegrita">
    <w:name w:val="Strong"/>
    <w:qFormat/>
    <w:rPr>
      <w:b/>
      <w:bCs/>
    </w:rPr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rFonts w:cs="Times New Roman"/>
      <w:b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Symbol"/>
    </w:rPr>
  </w:style>
  <w:style w:type="character" w:customStyle="1" w:styleId="Carctersdenotafinal">
    <w:name w:val="Caràcters de nota final"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ascii="Arial" w:hAnsi="Arial" w:cs="Arial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ndex">
    <w:name w:val="Índex"/>
    <w:basedOn w:val="Normal"/>
    <w:pPr>
      <w:suppressLineNumbers/>
    </w:pPr>
    <w:rPr>
      <w:rFonts w:ascii="Arial" w:hAnsi="Arial" w:cs="Arial"/>
    </w:rPr>
  </w:style>
  <w:style w:type="paragraph" w:customStyle="1" w:styleId="aTtulo">
    <w:name w:val="a) Título"/>
    <w:basedOn w:val="Normal"/>
    <w:pPr>
      <w:spacing w:before="120"/>
    </w:pPr>
    <w:rPr>
      <w:rFonts w:ascii="Calibri" w:eastAsia="Cambria" w:hAnsi="Calibri" w:cs="Calibri"/>
      <w:i/>
      <w:sz w:val="26"/>
      <w:szCs w:val="26"/>
    </w:rPr>
  </w:style>
  <w:style w:type="paragraph" w:customStyle="1" w:styleId="11Subapartado">
    <w:name w:val="1.1 Subapartado"/>
    <w:pPr>
      <w:suppressAutoHyphens/>
      <w:spacing w:line="360" w:lineRule="auto"/>
    </w:pPr>
    <w:rPr>
      <w:rFonts w:ascii="Calibri" w:eastAsia="Calibri" w:hAnsi="Calibri" w:cs="Calibri"/>
      <w:b/>
      <w:sz w:val="24"/>
      <w:szCs w:val="24"/>
      <w:lang w:eastAsia="ar-SA"/>
    </w:rPr>
  </w:style>
  <w:style w:type="paragraph" w:customStyle="1" w:styleId="ListParagraph">
    <w:name w:val="List Paragraph"/>
    <w:basedOn w:val="Normal"/>
    <w:pPr>
      <w:ind w:left="720"/>
    </w:pPr>
    <w:rPr>
      <w:rFonts w:eastAsia="Cambria"/>
    </w:rPr>
  </w:style>
  <w:style w:type="paragraph" w:customStyle="1" w:styleId="Nutrimedia">
    <w:name w:val="Nutrimedia"/>
    <w:basedOn w:val="Normal"/>
    <w:rPr>
      <w:rFonts w:ascii="Verdana" w:eastAsia="Cambria" w:hAnsi="Verdana" w:cs="Verdana"/>
      <w:sz w:val="22"/>
      <w:szCs w:val="22"/>
      <w:lang w:val="es-ES"/>
    </w:rPr>
  </w:style>
  <w:style w:type="paragraph" w:customStyle="1" w:styleId="Referencias">
    <w:name w:val="Referencias"/>
    <w:basedOn w:val="ListParagraph"/>
    <w:pPr>
      <w:numPr>
        <w:numId w:val="2"/>
      </w:numPr>
      <w:spacing w:before="120" w:after="120" w:line="100" w:lineRule="atLeast"/>
      <w:jc w:val="left"/>
    </w:pPr>
    <w:rPr>
      <w:lang w:val="en-CA"/>
    </w:rPr>
  </w:style>
  <w:style w:type="paragraph" w:customStyle="1" w:styleId="TXT-informativo">
    <w:name w:val="TXT-informativo"/>
    <w:pPr>
      <w:suppressAutoHyphens/>
    </w:pPr>
    <w:rPr>
      <w:rFonts w:ascii="Calibri" w:eastAsia="MS ??" w:hAnsi="Calibri" w:cs="Cambria"/>
      <w:sz w:val="18"/>
      <w:szCs w:val="24"/>
      <w:lang w:val="en-US" w:eastAsia="ar-SA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</w:pPr>
    <w:rPr>
      <w:rFonts w:cs="Times New Roman"/>
      <w:color w:val="00000A"/>
      <w:sz w:val="20"/>
      <w:szCs w:val="20"/>
      <w:lang w:val="es-ES"/>
    </w:r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  <w:rPr>
      <w:rFonts w:cs="Times New Roman"/>
      <w:color w:val="00000A"/>
      <w:sz w:val="20"/>
      <w:szCs w:val="20"/>
      <w:lang w:val="es-ES"/>
    </w:rPr>
  </w:style>
  <w:style w:type="paragraph" w:customStyle="1" w:styleId="EpigrafeInfo">
    <w:name w:val="Epigrafe &gt; Info"/>
    <w:basedOn w:val="TXT-informativo"/>
    <w:pPr>
      <w:jc w:val="both"/>
    </w:pPr>
    <w:rPr>
      <w:rFonts w:cs="Calibri"/>
      <w:color w:val="7F7F7F"/>
      <w:szCs w:val="18"/>
      <w:lang w:val="es-ES"/>
    </w:rPr>
  </w:style>
  <w:style w:type="paragraph" w:customStyle="1" w:styleId="BalloonText">
    <w:name w:val="Balloon Text"/>
    <w:basedOn w:val="Normal"/>
    <w:pPr>
      <w:spacing w:line="100" w:lineRule="atLeast"/>
    </w:pPr>
    <w:rPr>
      <w:rFonts w:ascii="Lucida Grande" w:hAnsi="Lucida Grande" w:cs="Lucida Grande"/>
      <w:sz w:val="18"/>
      <w:szCs w:val="18"/>
    </w:rPr>
  </w:style>
  <w:style w:type="paragraph" w:customStyle="1" w:styleId="arial">
    <w:name w:val="arial"/>
    <w:basedOn w:val="Normal"/>
    <w:rPr>
      <w:rFonts w:ascii="Arial" w:hAnsi="Arial" w:cs="Arial"/>
      <w:lang w:val="es-ES"/>
    </w:rPr>
  </w:style>
  <w:style w:type="paragraph" w:customStyle="1" w:styleId="Contingutdelmarc">
    <w:name w:val="Contingut del marc"/>
    <w:basedOn w:val="Textoindependiente"/>
  </w:style>
  <w:style w:type="paragraph" w:styleId="NormalWeb">
    <w:name w:val="Normal (Web)"/>
    <w:basedOn w:val="Normal"/>
    <w:pPr>
      <w:spacing w:before="100" w:after="100" w:line="100" w:lineRule="atLeast"/>
      <w:jc w:val="left"/>
    </w:pPr>
    <w:rPr>
      <w:rFonts w:ascii="Times New Roman" w:hAnsi="Times New Roman" w:cs="Times New Roman"/>
      <w:color w:val="00000A"/>
    </w:rPr>
  </w:style>
  <w:style w:type="character" w:customStyle="1" w:styleId="tl8wme">
    <w:name w:val="tl8wme"/>
    <w:rsid w:val="00D42A74"/>
  </w:style>
  <w:style w:type="paragraph" w:styleId="Textodeglobo">
    <w:name w:val="Balloon Text"/>
    <w:basedOn w:val="Normal"/>
    <w:link w:val="TextodegloboCar1"/>
    <w:uiPriority w:val="99"/>
    <w:semiHidden/>
    <w:unhideWhenUsed/>
    <w:rsid w:val="00881B78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xtodegloboCar1">
    <w:name w:val="Texto de globo Car1"/>
    <w:link w:val="Textodeglobo"/>
    <w:uiPriority w:val="99"/>
    <w:semiHidden/>
    <w:rsid w:val="00881B78"/>
    <w:rPr>
      <w:rFonts w:eastAsia="MS ??"/>
      <w:color w:val="000000"/>
      <w:sz w:val="26"/>
      <w:szCs w:val="26"/>
      <w:lang w:val="en-US" w:eastAsia="ar-SA"/>
    </w:rPr>
  </w:style>
  <w:style w:type="character" w:styleId="Mencinsinresolver">
    <w:name w:val="Unresolved Mention"/>
    <w:uiPriority w:val="99"/>
    <w:semiHidden/>
    <w:unhideWhenUsed/>
    <w:rsid w:val="00B910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30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73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2956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05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nyurl.com/yclzvl6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5212</CharactersWithSpaces>
  <SharedDoc>false</SharedDoc>
  <HyperlinkBase/>
  <HLinks>
    <vt:vector size="6" baseType="variant">
      <vt:variant>
        <vt:i4>589848</vt:i4>
      </vt:variant>
      <vt:variant>
        <vt:i4>0</vt:i4>
      </vt:variant>
      <vt:variant>
        <vt:i4>0</vt:i4>
      </vt:variant>
      <vt:variant>
        <vt:i4>5</vt:i4>
      </vt:variant>
      <vt:variant>
        <vt:lpwstr>https://tinyurl.com/yclzvl6a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</dc:creator>
  <cp:keywords/>
  <dc:description/>
  <cp:lastModifiedBy>Gonzalo Casino Rubio</cp:lastModifiedBy>
  <cp:revision>2</cp:revision>
  <cp:lastPrinted>2018-02-09T12:06:00Z</cp:lastPrinted>
  <dcterms:created xsi:type="dcterms:W3CDTF">2018-02-09T12:21:00Z</dcterms:created>
  <dcterms:modified xsi:type="dcterms:W3CDTF">2018-02-09T12:21:00Z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