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3003ED" w:rsidRPr="00327E72" w:rsidTr="003A60A8">
        <w:tc>
          <w:tcPr>
            <w:tcW w:w="9464" w:type="dxa"/>
          </w:tcPr>
          <w:p w:rsidR="003003ED" w:rsidRPr="00992386" w:rsidRDefault="003003ED" w:rsidP="00FD2941">
            <w:pPr>
              <w:spacing w:after="0" w:line="240" w:lineRule="auto"/>
              <w:rPr>
                <w:b/>
                <w:sz w:val="24"/>
                <w:lang w:val="en-GB"/>
              </w:rPr>
            </w:pPr>
            <w:bookmarkStart w:id="0" w:name="_GoBack"/>
            <w:bookmarkEnd w:id="0"/>
          </w:p>
        </w:tc>
      </w:tr>
      <w:tr w:rsidR="003003ED" w:rsidRPr="00B366E9" w:rsidTr="003A60A8">
        <w:tc>
          <w:tcPr>
            <w:tcW w:w="9464" w:type="dxa"/>
          </w:tcPr>
          <w:p w:rsidR="00543669" w:rsidRPr="00992386" w:rsidRDefault="00543669" w:rsidP="00992386">
            <w:pPr>
              <w:spacing w:after="0" w:line="240" w:lineRule="auto"/>
              <w:rPr>
                <w:b/>
                <w:sz w:val="24"/>
                <w:lang w:val="en-US"/>
              </w:rPr>
            </w:pPr>
          </w:p>
          <w:p w:rsidR="003003ED" w:rsidRPr="00992386" w:rsidRDefault="003003ED" w:rsidP="008837BF">
            <w:pPr>
              <w:spacing w:after="0" w:line="240" w:lineRule="auto"/>
              <w:jc w:val="both"/>
              <w:rPr>
                <w:lang w:val="en-US"/>
              </w:rPr>
            </w:pPr>
            <w:r w:rsidRPr="00992386">
              <w:rPr>
                <w:b/>
                <w:sz w:val="24"/>
                <w:lang w:val="en-GB"/>
              </w:rPr>
              <w:t>Job title</w:t>
            </w:r>
            <w:r w:rsidR="008837BF">
              <w:rPr>
                <w:b/>
                <w:sz w:val="24"/>
                <w:lang w:val="en-GB"/>
              </w:rPr>
              <w:t xml:space="preserve">: </w:t>
            </w:r>
            <w:r w:rsidR="001F0CF3">
              <w:rPr>
                <w:lang w:val="en-US"/>
              </w:rPr>
              <w:t>PhD</w:t>
            </w:r>
            <w:r w:rsidR="00D34EE1">
              <w:rPr>
                <w:lang w:val="en-US"/>
              </w:rPr>
              <w:t xml:space="preserve"> position</w:t>
            </w:r>
            <w:r w:rsidR="006A3BF0">
              <w:rPr>
                <w:lang w:val="en-US"/>
              </w:rPr>
              <w:t xml:space="preserve"> at the Laboratory of Molecular Physiology (Department of Experimental and Health Sciences, University </w:t>
            </w:r>
            <w:proofErr w:type="spellStart"/>
            <w:r w:rsidR="006A3BF0">
              <w:rPr>
                <w:lang w:val="en-US"/>
              </w:rPr>
              <w:t>Pompeu</w:t>
            </w:r>
            <w:proofErr w:type="spellEnd"/>
            <w:r w:rsidR="006A3BF0">
              <w:rPr>
                <w:lang w:val="en-US"/>
              </w:rPr>
              <w:t xml:space="preserve"> </w:t>
            </w:r>
            <w:proofErr w:type="spellStart"/>
            <w:r w:rsidR="006A3BF0">
              <w:rPr>
                <w:lang w:val="en-US"/>
              </w:rPr>
              <w:t>Fabra</w:t>
            </w:r>
            <w:proofErr w:type="spellEnd"/>
            <w:r w:rsidR="006A3BF0">
              <w:rPr>
                <w:lang w:val="en-US"/>
              </w:rPr>
              <w:t xml:space="preserve">, Barcelona, Spain). The position is </w:t>
            </w:r>
            <w:r w:rsidR="006A3BF0" w:rsidRPr="006A3BF0">
              <w:rPr>
                <w:lang w:val="en-US"/>
              </w:rPr>
              <w:t>linked to the project “HYPOGLYCOSYLATION OF CaV2.1 AND PIEZO CHANNELS: NEW PATHOLOGICAL MECHANISMS AND THERAPEUTIC TARGETS FOR NEUROLOGICAL DISORDERS IN PHOSPHOMANNOMUTASE 2 DEFICIENCY</w:t>
            </w:r>
            <w:r w:rsidR="007720DC">
              <w:rPr>
                <w:lang w:val="en-US"/>
              </w:rPr>
              <w:t xml:space="preserve"> (PMM2-CDG)</w:t>
            </w:r>
            <w:r w:rsidR="006A3BF0" w:rsidRPr="006A3BF0">
              <w:rPr>
                <w:lang w:val="en-US"/>
              </w:rPr>
              <w:t>”</w:t>
            </w:r>
          </w:p>
        </w:tc>
      </w:tr>
      <w:tr w:rsidR="003003ED" w:rsidRPr="00B366E9" w:rsidTr="003A60A8">
        <w:tc>
          <w:tcPr>
            <w:tcW w:w="9464" w:type="dxa"/>
          </w:tcPr>
          <w:p w:rsidR="00543669" w:rsidRPr="00992386" w:rsidRDefault="00543669" w:rsidP="00992386">
            <w:pPr>
              <w:spacing w:after="0" w:line="240" w:lineRule="auto"/>
              <w:rPr>
                <w:b/>
                <w:sz w:val="24"/>
                <w:lang w:val="en-GB"/>
              </w:rPr>
            </w:pPr>
          </w:p>
          <w:p w:rsidR="00543669" w:rsidRDefault="003003ED" w:rsidP="008837BF">
            <w:pPr>
              <w:spacing w:after="0" w:line="240" w:lineRule="auto"/>
              <w:jc w:val="both"/>
              <w:rPr>
                <w:sz w:val="24"/>
                <w:szCs w:val="24"/>
                <w:lang w:val="en-GB"/>
              </w:rPr>
            </w:pPr>
            <w:r w:rsidRPr="00992386">
              <w:rPr>
                <w:b/>
                <w:sz w:val="24"/>
                <w:lang w:val="en-GB"/>
              </w:rPr>
              <w:t>Job description</w:t>
            </w:r>
            <w:r w:rsidR="008837BF">
              <w:rPr>
                <w:b/>
                <w:sz w:val="24"/>
                <w:lang w:val="en-GB"/>
              </w:rPr>
              <w:t xml:space="preserve">: </w:t>
            </w:r>
            <w:r w:rsidR="007720DC" w:rsidRPr="007720DC">
              <w:rPr>
                <w:sz w:val="24"/>
                <w:szCs w:val="24"/>
                <w:lang w:val="en-GB"/>
              </w:rPr>
              <w:t xml:space="preserve">The overall objective of this proposal </w:t>
            </w:r>
            <w:r w:rsidR="007720DC">
              <w:rPr>
                <w:sz w:val="24"/>
                <w:szCs w:val="24"/>
                <w:lang w:val="en-GB"/>
              </w:rPr>
              <w:t>is</w:t>
            </w:r>
            <w:r w:rsidR="007720DC" w:rsidRPr="007720DC">
              <w:rPr>
                <w:sz w:val="24"/>
                <w:szCs w:val="24"/>
                <w:lang w:val="en-GB"/>
              </w:rPr>
              <w:t xml:space="preserve"> to study how </w:t>
            </w:r>
            <w:proofErr w:type="spellStart"/>
            <w:r w:rsidR="007720DC" w:rsidRPr="007720DC">
              <w:rPr>
                <w:sz w:val="24"/>
                <w:szCs w:val="24"/>
                <w:lang w:val="en-GB"/>
              </w:rPr>
              <w:t>hypoglycosylation</w:t>
            </w:r>
            <w:proofErr w:type="spellEnd"/>
            <w:r w:rsidR="007720DC" w:rsidRPr="007720DC">
              <w:rPr>
                <w:sz w:val="24"/>
                <w:szCs w:val="24"/>
                <w:lang w:val="en-GB"/>
              </w:rPr>
              <w:t xml:space="preserve"> affect the function of neuronal Ca</w:t>
            </w:r>
            <w:r w:rsidR="007720DC" w:rsidRPr="007720DC">
              <w:rPr>
                <w:sz w:val="24"/>
                <w:szCs w:val="24"/>
                <w:vertAlign w:val="subscript"/>
                <w:lang w:val="en-GB"/>
              </w:rPr>
              <w:t>V</w:t>
            </w:r>
            <w:r w:rsidR="007720DC" w:rsidRPr="007720DC">
              <w:rPr>
                <w:sz w:val="24"/>
                <w:szCs w:val="24"/>
                <w:lang w:val="en-GB"/>
              </w:rPr>
              <w:t>2.1 and Piezo channels, and its relevance in</w:t>
            </w:r>
            <w:r w:rsidR="007720DC">
              <w:rPr>
                <w:sz w:val="24"/>
                <w:szCs w:val="24"/>
                <w:lang w:val="en-GB"/>
              </w:rPr>
              <w:t xml:space="preserve"> neurological alterations linked to </w:t>
            </w:r>
            <w:r w:rsidR="007720DC" w:rsidRPr="007720DC">
              <w:rPr>
                <w:sz w:val="24"/>
                <w:szCs w:val="24"/>
                <w:lang w:val="en-GB"/>
              </w:rPr>
              <w:t xml:space="preserve">PMM2-CDG </w:t>
            </w:r>
            <w:r w:rsidR="007720DC">
              <w:rPr>
                <w:sz w:val="24"/>
                <w:szCs w:val="24"/>
                <w:lang w:val="en-GB"/>
              </w:rPr>
              <w:t>, such as stroke-like episodes</w:t>
            </w:r>
            <w:r w:rsidR="007720DC" w:rsidRPr="007720DC">
              <w:rPr>
                <w:sz w:val="24"/>
                <w:szCs w:val="24"/>
                <w:lang w:val="en-GB"/>
              </w:rPr>
              <w:t xml:space="preserve"> </w:t>
            </w:r>
            <w:r w:rsidR="007720DC">
              <w:rPr>
                <w:sz w:val="24"/>
                <w:szCs w:val="24"/>
                <w:lang w:val="en-GB"/>
              </w:rPr>
              <w:t>(</w:t>
            </w:r>
            <w:r w:rsidR="007720DC" w:rsidRPr="007720DC">
              <w:rPr>
                <w:sz w:val="24"/>
                <w:szCs w:val="24"/>
                <w:lang w:val="en-GB"/>
              </w:rPr>
              <w:t>SLEs</w:t>
            </w:r>
            <w:r w:rsidR="007720DC">
              <w:rPr>
                <w:sz w:val="24"/>
                <w:szCs w:val="24"/>
                <w:lang w:val="en-GB"/>
              </w:rPr>
              <w:t>)</w:t>
            </w:r>
            <w:r w:rsidR="007720DC" w:rsidRPr="007720DC">
              <w:rPr>
                <w:sz w:val="24"/>
                <w:szCs w:val="24"/>
                <w:lang w:val="en-GB"/>
              </w:rPr>
              <w:t xml:space="preserve"> and cerebral syndrome, by using heterologous expression systems and cultured neurons endogenously expressing these channels (obtained from both wild-type and PMM2-CDG knock-in mice). Similar analysis will be performed in fibrob</w:t>
            </w:r>
            <w:r w:rsidR="007720DC">
              <w:rPr>
                <w:sz w:val="24"/>
                <w:szCs w:val="24"/>
                <w:lang w:val="en-GB"/>
              </w:rPr>
              <w:t xml:space="preserve">lasts </w:t>
            </w:r>
            <w:r w:rsidR="007720DC" w:rsidRPr="007720DC">
              <w:rPr>
                <w:sz w:val="24"/>
                <w:szCs w:val="24"/>
                <w:lang w:val="en-GB"/>
              </w:rPr>
              <w:t xml:space="preserve">of patients with PMM2-CDG and healthy volunteers, and iPSC-derived neurons from those fibroblasts, to directly assess the degree of </w:t>
            </w:r>
            <w:proofErr w:type="spellStart"/>
            <w:r w:rsidR="007720DC" w:rsidRPr="007720DC">
              <w:rPr>
                <w:sz w:val="24"/>
                <w:szCs w:val="24"/>
                <w:lang w:val="en-GB"/>
              </w:rPr>
              <w:t>hypoglycosylation</w:t>
            </w:r>
            <w:proofErr w:type="spellEnd"/>
            <w:r w:rsidR="007720DC" w:rsidRPr="007720DC">
              <w:rPr>
                <w:sz w:val="24"/>
                <w:szCs w:val="24"/>
                <w:lang w:val="en-GB"/>
              </w:rPr>
              <w:t xml:space="preserve"> and dysfunction of Ca</w:t>
            </w:r>
            <w:r w:rsidR="007720DC" w:rsidRPr="007720DC">
              <w:rPr>
                <w:sz w:val="24"/>
                <w:szCs w:val="24"/>
                <w:vertAlign w:val="subscript"/>
                <w:lang w:val="en-GB"/>
              </w:rPr>
              <w:t>V</w:t>
            </w:r>
            <w:r w:rsidR="007720DC" w:rsidRPr="007720DC">
              <w:rPr>
                <w:sz w:val="24"/>
                <w:szCs w:val="24"/>
                <w:lang w:val="en-GB"/>
              </w:rPr>
              <w:t xml:space="preserve">2.1 and </w:t>
            </w:r>
            <w:proofErr w:type="spellStart"/>
            <w:r w:rsidR="007720DC" w:rsidRPr="007720DC">
              <w:rPr>
                <w:sz w:val="24"/>
                <w:szCs w:val="24"/>
                <w:lang w:val="en-GB"/>
              </w:rPr>
              <w:t>Piezos</w:t>
            </w:r>
            <w:proofErr w:type="spellEnd"/>
            <w:r w:rsidR="007720DC" w:rsidRPr="007720DC">
              <w:rPr>
                <w:sz w:val="24"/>
                <w:szCs w:val="24"/>
                <w:lang w:val="en-GB"/>
              </w:rPr>
              <w:t xml:space="preserve"> in patients with distinct neurological phenotypes (moderate versus severe), and initiate a study of correlation with their clinical and genetic report.</w:t>
            </w:r>
            <w:r w:rsidR="007720DC">
              <w:rPr>
                <w:sz w:val="24"/>
                <w:szCs w:val="24"/>
                <w:lang w:val="en-GB"/>
              </w:rPr>
              <w:t xml:space="preserve"> </w:t>
            </w:r>
            <w:r w:rsidR="007720DC" w:rsidRPr="007720DC">
              <w:rPr>
                <w:sz w:val="24"/>
                <w:szCs w:val="24"/>
                <w:lang w:val="en-GB"/>
              </w:rPr>
              <w:t xml:space="preserve">Finally, we will test the capability of </w:t>
            </w:r>
            <w:r w:rsidR="007720DC">
              <w:rPr>
                <w:sz w:val="24"/>
                <w:szCs w:val="24"/>
                <w:lang w:val="en-GB"/>
              </w:rPr>
              <w:t xml:space="preserve">novel </w:t>
            </w:r>
            <w:r w:rsidR="007720DC" w:rsidRPr="007720DC">
              <w:rPr>
                <w:sz w:val="24"/>
                <w:szCs w:val="24"/>
                <w:lang w:val="en-GB"/>
              </w:rPr>
              <w:t>Ca</w:t>
            </w:r>
            <w:r w:rsidR="007720DC" w:rsidRPr="007720DC">
              <w:rPr>
                <w:sz w:val="24"/>
                <w:szCs w:val="24"/>
                <w:vertAlign w:val="subscript"/>
                <w:lang w:val="en-GB"/>
              </w:rPr>
              <w:t>V</w:t>
            </w:r>
            <w:r w:rsidR="007720DC" w:rsidRPr="007720DC">
              <w:rPr>
                <w:sz w:val="24"/>
                <w:szCs w:val="24"/>
                <w:lang w:val="en-GB"/>
              </w:rPr>
              <w:t>2.1</w:t>
            </w:r>
            <w:r w:rsidR="007720DC">
              <w:rPr>
                <w:sz w:val="24"/>
                <w:szCs w:val="24"/>
                <w:lang w:val="en-GB"/>
              </w:rPr>
              <w:t xml:space="preserve"> modulators to revert</w:t>
            </w:r>
            <w:r w:rsidR="007720DC" w:rsidRPr="007720DC">
              <w:rPr>
                <w:sz w:val="24"/>
                <w:szCs w:val="24"/>
                <w:lang w:val="en-GB"/>
              </w:rPr>
              <w:t xml:space="preserve"> </w:t>
            </w:r>
            <w:proofErr w:type="spellStart"/>
            <w:r w:rsidR="007720DC" w:rsidRPr="007720DC">
              <w:rPr>
                <w:sz w:val="24"/>
                <w:szCs w:val="24"/>
                <w:lang w:val="en-GB"/>
              </w:rPr>
              <w:t>hypoglycosylation</w:t>
            </w:r>
            <w:proofErr w:type="spellEnd"/>
            <w:r w:rsidR="007720DC" w:rsidRPr="007720DC">
              <w:rPr>
                <w:sz w:val="24"/>
                <w:szCs w:val="24"/>
                <w:lang w:val="en-GB"/>
              </w:rPr>
              <w:t xml:space="preserve"> effects, thus establishing a proof of concept to develop in the future a specific treatment for neurological events in PMM2-CDG.</w:t>
            </w:r>
          </w:p>
          <w:p w:rsidR="008837BF" w:rsidRPr="00992386" w:rsidRDefault="008837BF" w:rsidP="008837BF">
            <w:pPr>
              <w:spacing w:after="0" w:line="240" w:lineRule="auto"/>
              <w:jc w:val="both"/>
              <w:rPr>
                <w:b/>
                <w:sz w:val="20"/>
                <w:szCs w:val="20"/>
                <w:lang w:val="en-GB"/>
              </w:rPr>
            </w:pPr>
          </w:p>
        </w:tc>
      </w:tr>
      <w:tr w:rsidR="003003ED" w:rsidRPr="00B366E9" w:rsidTr="003A60A8">
        <w:tc>
          <w:tcPr>
            <w:tcW w:w="9464" w:type="dxa"/>
          </w:tcPr>
          <w:p w:rsidR="00543669" w:rsidRPr="00992386" w:rsidRDefault="00543669" w:rsidP="00992386">
            <w:pPr>
              <w:spacing w:after="0" w:line="240" w:lineRule="auto"/>
              <w:rPr>
                <w:b/>
                <w:sz w:val="24"/>
                <w:lang w:val="en-GB"/>
              </w:rPr>
            </w:pPr>
          </w:p>
          <w:p w:rsidR="003003ED" w:rsidRPr="00992386" w:rsidRDefault="003003ED" w:rsidP="00992386">
            <w:pPr>
              <w:spacing w:after="0" w:line="240" w:lineRule="auto"/>
              <w:rPr>
                <w:b/>
                <w:sz w:val="24"/>
                <w:lang w:val="en-GB"/>
              </w:rPr>
            </w:pPr>
            <w:r w:rsidRPr="00992386">
              <w:rPr>
                <w:b/>
                <w:sz w:val="24"/>
                <w:lang w:val="en-GB"/>
              </w:rPr>
              <w:t>Project and Institu</w:t>
            </w:r>
            <w:r w:rsidR="00543669" w:rsidRPr="00992386">
              <w:rPr>
                <w:b/>
                <w:sz w:val="24"/>
                <w:lang w:val="en-GB"/>
              </w:rPr>
              <w:t>tion that finance the contract</w:t>
            </w:r>
          </w:p>
          <w:p w:rsidR="003003ED" w:rsidRPr="00992386" w:rsidRDefault="006A3BF0" w:rsidP="00061CFB">
            <w:pPr>
              <w:spacing w:after="0" w:line="240" w:lineRule="auto"/>
              <w:jc w:val="both"/>
              <w:rPr>
                <w:sz w:val="20"/>
                <w:szCs w:val="20"/>
                <w:lang w:val="en-GB"/>
              </w:rPr>
            </w:pPr>
            <w:r w:rsidRPr="006A3BF0">
              <w:rPr>
                <w:iCs/>
                <w:lang w:val="en-US"/>
              </w:rPr>
              <w:t>“HYPOGLYCOSYLATION OF CaV2.1 AND PIEZO CHANNELS: NEW PATHOLOGICAL MECHANISMS AND</w:t>
            </w:r>
            <w:r w:rsidR="00061CFB">
              <w:rPr>
                <w:iCs/>
                <w:lang w:val="en-US"/>
              </w:rPr>
              <w:t xml:space="preserve"> </w:t>
            </w:r>
            <w:r w:rsidRPr="006A3BF0">
              <w:rPr>
                <w:iCs/>
                <w:lang w:val="en-US"/>
              </w:rPr>
              <w:t>THERAPEUTIC TARGETS FOR NEUROLOGICAL DISORDERS IN PHOSPHOMANNOMUTASE 2 DEFICIENCY”</w:t>
            </w:r>
            <w:r>
              <w:rPr>
                <w:iCs/>
                <w:lang w:val="en-US"/>
              </w:rPr>
              <w:t xml:space="preserve">, funded by </w:t>
            </w:r>
            <w:r w:rsidR="007720DC">
              <w:rPr>
                <w:iCs/>
                <w:lang w:val="en-US"/>
              </w:rPr>
              <w:t>“</w:t>
            </w:r>
            <w:r w:rsidRPr="006A3BF0">
              <w:rPr>
                <w:iCs/>
                <w:lang w:val="en-US"/>
              </w:rPr>
              <w:t>The Ministry of Science, Innovation and Universities</w:t>
            </w:r>
            <w:r w:rsidR="007720DC">
              <w:rPr>
                <w:iCs/>
                <w:lang w:val="en-US"/>
              </w:rPr>
              <w:t>” (</w:t>
            </w:r>
            <w:proofErr w:type="spellStart"/>
            <w:r w:rsidR="007720DC" w:rsidRPr="007720DC">
              <w:rPr>
                <w:iCs/>
                <w:lang w:val="en-US"/>
              </w:rPr>
              <w:t>cofunded</w:t>
            </w:r>
            <w:proofErr w:type="spellEnd"/>
            <w:r w:rsidR="007720DC" w:rsidRPr="007720DC">
              <w:rPr>
                <w:iCs/>
                <w:lang w:val="en-US"/>
              </w:rPr>
              <w:t xml:space="preserve"> by FEDER, UE</w:t>
            </w:r>
            <w:r w:rsidR="007720DC">
              <w:rPr>
                <w:iCs/>
                <w:lang w:val="en-US"/>
              </w:rPr>
              <w:t>)</w:t>
            </w:r>
          </w:p>
          <w:p w:rsidR="003003ED" w:rsidRPr="00992386" w:rsidRDefault="003003ED" w:rsidP="00992386">
            <w:pPr>
              <w:spacing w:after="0" w:line="240" w:lineRule="auto"/>
              <w:rPr>
                <w:b/>
                <w:sz w:val="24"/>
                <w:lang w:val="en-GB"/>
              </w:rPr>
            </w:pPr>
          </w:p>
          <w:p w:rsidR="003003ED" w:rsidRPr="00992386" w:rsidRDefault="00543669" w:rsidP="00992386">
            <w:pPr>
              <w:spacing w:after="0" w:line="240" w:lineRule="auto"/>
              <w:rPr>
                <w:b/>
                <w:sz w:val="24"/>
                <w:lang w:val="en-GB"/>
              </w:rPr>
            </w:pPr>
            <w:r w:rsidRPr="00992386">
              <w:rPr>
                <w:b/>
                <w:sz w:val="24"/>
                <w:lang w:val="en-GB"/>
              </w:rPr>
              <w:t>Official number reference</w:t>
            </w:r>
          </w:p>
          <w:p w:rsidR="003003ED" w:rsidRDefault="007720DC" w:rsidP="008837BF">
            <w:pPr>
              <w:spacing w:after="0" w:line="240" w:lineRule="auto"/>
              <w:rPr>
                <w:sz w:val="24"/>
                <w:szCs w:val="24"/>
                <w:lang w:val="en-GB"/>
              </w:rPr>
            </w:pPr>
            <w:r w:rsidRPr="007720DC">
              <w:rPr>
                <w:sz w:val="24"/>
                <w:szCs w:val="24"/>
                <w:lang w:val="en-GB"/>
              </w:rPr>
              <w:t>RTI2018-094809-B-I00</w:t>
            </w:r>
          </w:p>
          <w:p w:rsidR="008837BF" w:rsidRPr="006A34A9" w:rsidRDefault="008837BF" w:rsidP="008837BF">
            <w:pPr>
              <w:spacing w:after="0" w:line="240" w:lineRule="auto"/>
              <w:rPr>
                <w:i/>
                <w:sz w:val="20"/>
                <w:szCs w:val="20"/>
                <w:lang w:val="en-GB"/>
              </w:rPr>
            </w:pPr>
          </w:p>
        </w:tc>
      </w:tr>
      <w:tr w:rsidR="003003ED" w:rsidRPr="00B366E9" w:rsidTr="003A60A8">
        <w:tc>
          <w:tcPr>
            <w:tcW w:w="9464" w:type="dxa"/>
          </w:tcPr>
          <w:p w:rsidR="00543669" w:rsidRPr="006A34A9" w:rsidRDefault="00543669" w:rsidP="00992386">
            <w:pPr>
              <w:spacing w:after="0" w:line="240" w:lineRule="auto"/>
              <w:jc w:val="both"/>
              <w:rPr>
                <w:b/>
                <w:sz w:val="24"/>
                <w:lang w:val="en-US"/>
              </w:rPr>
            </w:pPr>
          </w:p>
          <w:p w:rsidR="003003ED" w:rsidRPr="00992386" w:rsidRDefault="003003ED" w:rsidP="00992386">
            <w:pPr>
              <w:spacing w:after="0" w:line="240" w:lineRule="auto"/>
              <w:jc w:val="both"/>
              <w:rPr>
                <w:lang w:val="en-GB"/>
              </w:rPr>
            </w:pPr>
            <w:r w:rsidRPr="00992386">
              <w:rPr>
                <w:b/>
                <w:sz w:val="24"/>
                <w:lang w:val="en-GB"/>
              </w:rPr>
              <w:t>Information on the minimum requirements</w:t>
            </w:r>
            <w:r w:rsidRPr="00992386">
              <w:rPr>
                <w:lang w:val="en-GB"/>
              </w:rPr>
              <w:t xml:space="preserve"> </w:t>
            </w:r>
          </w:p>
          <w:p w:rsidR="001F0CF3" w:rsidRPr="006A3BF0" w:rsidRDefault="001F0CF3" w:rsidP="001F0CF3">
            <w:pPr>
              <w:spacing w:after="0" w:line="240" w:lineRule="auto"/>
              <w:jc w:val="both"/>
              <w:rPr>
                <w:sz w:val="24"/>
                <w:szCs w:val="24"/>
                <w:lang w:val="en-GB"/>
              </w:rPr>
            </w:pPr>
            <w:r w:rsidRPr="006A3BF0">
              <w:rPr>
                <w:sz w:val="24"/>
                <w:szCs w:val="24"/>
                <w:lang w:val="en-GB"/>
              </w:rPr>
              <w:t>Candidates must have obtained a University Degree and a Master’s Degree in natural or medical sciences (Biology, Medicine, Biochemistry, Biom</w:t>
            </w:r>
            <w:r w:rsidR="00FB4F1E">
              <w:rPr>
                <w:sz w:val="24"/>
                <w:szCs w:val="24"/>
                <w:lang w:val="en-GB"/>
              </w:rPr>
              <w:t>edicine, Biop</w:t>
            </w:r>
            <w:r w:rsidR="00B041AF">
              <w:rPr>
                <w:sz w:val="24"/>
                <w:szCs w:val="24"/>
                <w:lang w:val="en-GB"/>
              </w:rPr>
              <w:t>hysics,…</w:t>
            </w:r>
            <w:r w:rsidRPr="006A3BF0">
              <w:rPr>
                <w:sz w:val="24"/>
                <w:szCs w:val="24"/>
                <w:lang w:val="en-GB"/>
              </w:rPr>
              <w:t>), within the European Higher Education System (min. 300 ECTS), or an equivalent university degree, of at least 300 ECTS, that would allow the candidate to start a PhD thesis in their home country by May-June 2020; candidates who expect to be awarded such degree in order to be accepted in our PhD Programme in Biomedicine by May-June 2020 are eligible to apply. Candidates are advised to check that they fulfil the requirements for admission to the UPF PhD in Biomedicine as those who do not fulfil these requirements will be considered ineligible.</w:t>
            </w:r>
          </w:p>
          <w:p w:rsidR="003003ED" w:rsidRDefault="001F0CF3" w:rsidP="006A3BF0">
            <w:pPr>
              <w:spacing w:after="0" w:line="240" w:lineRule="auto"/>
              <w:jc w:val="both"/>
              <w:rPr>
                <w:sz w:val="24"/>
                <w:szCs w:val="24"/>
                <w:lang w:val="en-GB"/>
              </w:rPr>
            </w:pPr>
            <w:r w:rsidRPr="006A3BF0">
              <w:rPr>
                <w:sz w:val="24"/>
                <w:szCs w:val="24"/>
                <w:lang w:val="en-GB"/>
              </w:rPr>
              <w:t>Candidates will be required to present their academic record and those who obtained their degree and/ or Master’s in a country other than Spain will have to include the conversion of their</w:t>
            </w:r>
            <w:r w:rsidR="006A3BF0" w:rsidRPr="006A3BF0">
              <w:rPr>
                <w:sz w:val="24"/>
                <w:szCs w:val="24"/>
                <w:lang w:val="en-GB"/>
              </w:rPr>
              <w:t xml:space="preserve"> </w:t>
            </w:r>
            <w:r w:rsidRPr="006A3BF0">
              <w:rPr>
                <w:sz w:val="24"/>
                <w:szCs w:val="24"/>
                <w:lang w:val="en-GB"/>
              </w:rPr>
              <w:t xml:space="preserve">grades to the Spanish 0-10 scale. Candidates must have excellent academic qualifications and good command of English. Research experience </w:t>
            </w:r>
            <w:r w:rsidR="006A3BF0" w:rsidRPr="006A3BF0">
              <w:rPr>
                <w:sz w:val="24"/>
                <w:szCs w:val="24"/>
                <w:lang w:val="en-GB"/>
              </w:rPr>
              <w:t>in the field of ion channels and/or induced Pluripotent Stem Cells (</w:t>
            </w:r>
            <w:proofErr w:type="spellStart"/>
            <w:r w:rsidR="006A3BF0" w:rsidRPr="006A3BF0">
              <w:rPr>
                <w:sz w:val="24"/>
                <w:szCs w:val="24"/>
                <w:lang w:val="en-GB"/>
              </w:rPr>
              <w:t>iPSCs</w:t>
            </w:r>
            <w:proofErr w:type="spellEnd"/>
            <w:r w:rsidR="006A3BF0" w:rsidRPr="006A3BF0">
              <w:rPr>
                <w:sz w:val="24"/>
                <w:szCs w:val="24"/>
                <w:lang w:val="en-GB"/>
              </w:rPr>
              <w:t>) along with</w:t>
            </w:r>
            <w:r w:rsidRPr="006A3BF0">
              <w:rPr>
                <w:sz w:val="24"/>
                <w:szCs w:val="24"/>
                <w:lang w:val="en-GB"/>
              </w:rPr>
              <w:t xml:space="preserve"> authorship of scientific publications will be a plus.</w:t>
            </w:r>
          </w:p>
          <w:p w:rsidR="008837BF" w:rsidRPr="00992386" w:rsidRDefault="008837BF" w:rsidP="006A3BF0">
            <w:pPr>
              <w:spacing w:after="0" w:line="240" w:lineRule="auto"/>
              <w:jc w:val="both"/>
              <w:rPr>
                <w:lang w:val="en-GB"/>
              </w:rPr>
            </w:pPr>
          </w:p>
        </w:tc>
      </w:tr>
      <w:tr w:rsidR="003003ED" w:rsidRPr="00F67EA7" w:rsidTr="003A60A8">
        <w:tc>
          <w:tcPr>
            <w:tcW w:w="9464" w:type="dxa"/>
          </w:tcPr>
          <w:p w:rsidR="00543669" w:rsidRPr="00992386" w:rsidRDefault="00543669" w:rsidP="00992386">
            <w:pPr>
              <w:spacing w:after="0" w:line="240" w:lineRule="auto"/>
              <w:rPr>
                <w:b/>
                <w:sz w:val="24"/>
                <w:lang w:val="en-GB"/>
              </w:rPr>
            </w:pPr>
          </w:p>
          <w:p w:rsidR="00B366E9" w:rsidRDefault="00B366E9" w:rsidP="00992386">
            <w:pPr>
              <w:spacing w:after="0" w:line="240" w:lineRule="auto"/>
              <w:rPr>
                <w:b/>
                <w:sz w:val="24"/>
                <w:lang w:val="en-GB"/>
              </w:rPr>
            </w:pPr>
          </w:p>
          <w:p w:rsidR="003003ED" w:rsidRPr="00992386" w:rsidRDefault="003003ED" w:rsidP="00992386">
            <w:pPr>
              <w:spacing w:after="0" w:line="240" w:lineRule="auto"/>
              <w:rPr>
                <w:b/>
                <w:sz w:val="24"/>
                <w:lang w:val="en-GB"/>
              </w:rPr>
            </w:pPr>
            <w:r w:rsidRPr="00992386">
              <w:rPr>
                <w:b/>
                <w:sz w:val="24"/>
                <w:lang w:val="en-GB"/>
              </w:rPr>
              <w:lastRenderedPageBreak/>
              <w:t>Benefits of the opening</w:t>
            </w:r>
          </w:p>
          <w:p w:rsidR="003003ED" w:rsidRPr="00992386" w:rsidRDefault="003003ED" w:rsidP="00992386">
            <w:pPr>
              <w:spacing w:after="0" w:line="240" w:lineRule="auto"/>
              <w:rPr>
                <w:b/>
                <w:sz w:val="20"/>
                <w:szCs w:val="20"/>
                <w:lang w:val="en-GB"/>
              </w:rPr>
            </w:pPr>
          </w:p>
          <w:p w:rsidR="00F67EA7" w:rsidRPr="00F67EA7" w:rsidRDefault="000D672F" w:rsidP="00F67EA7">
            <w:pPr>
              <w:spacing w:after="0" w:line="240" w:lineRule="auto"/>
              <w:jc w:val="both"/>
              <w:rPr>
                <w:sz w:val="24"/>
                <w:szCs w:val="24"/>
                <w:lang w:val="en-GB"/>
              </w:rPr>
            </w:pPr>
            <w:r w:rsidRPr="000D672F">
              <w:rPr>
                <w:sz w:val="24"/>
                <w:szCs w:val="24"/>
                <w:lang w:val="en-GB"/>
              </w:rPr>
              <w:t>The UPF’s PhD programme in Biomedicine follows the latest regulations for doctoral studies in</w:t>
            </w:r>
            <w:r w:rsidR="00061CFB">
              <w:rPr>
                <w:sz w:val="24"/>
                <w:szCs w:val="24"/>
                <w:lang w:val="en-GB"/>
              </w:rPr>
              <w:t xml:space="preserve"> </w:t>
            </w:r>
            <w:r w:rsidRPr="000D672F">
              <w:rPr>
                <w:sz w:val="24"/>
                <w:szCs w:val="24"/>
                <w:lang w:val="en-GB"/>
              </w:rPr>
              <w:t>Spain, the so-called Royal Decree (RD) 99/2011, which were introduced to comply with the guidelines and recommendations of the European Higher Education Area (EHEA) on doctoral studies. The contents of this doctoral programme have been accredited by the Catalan University Quality Assurance Agency (AQU Catalonia) with the highest qualification of progressing towards excellence.</w:t>
            </w:r>
            <w:r w:rsidR="00F67EA7" w:rsidRPr="00F67EA7">
              <w:rPr>
                <w:sz w:val="24"/>
                <w:szCs w:val="24"/>
                <w:lang w:val="en-GB"/>
              </w:rPr>
              <w:t xml:space="preserve"> Successful candidates will have access to a wide range of academic</w:t>
            </w:r>
            <w:r>
              <w:rPr>
                <w:sz w:val="24"/>
                <w:szCs w:val="24"/>
                <w:lang w:val="en-GB"/>
              </w:rPr>
              <w:t xml:space="preserve"> </w:t>
            </w:r>
            <w:r w:rsidR="00F67EA7" w:rsidRPr="00F67EA7">
              <w:rPr>
                <w:sz w:val="24"/>
                <w:szCs w:val="24"/>
                <w:lang w:val="en-GB"/>
              </w:rPr>
              <w:t>activities, as well as ad hoc training in specific scientific skills; UPF and PRBB seminars,</w:t>
            </w:r>
            <w:r>
              <w:rPr>
                <w:sz w:val="24"/>
                <w:szCs w:val="24"/>
                <w:lang w:val="en-GB"/>
              </w:rPr>
              <w:t xml:space="preserve"> </w:t>
            </w:r>
            <w:r w:rsidR="00F67EA7" w:rsidRPr="00F67EA7">
              <w:rPr>
                <w:sz w:val="24"/>
                <w:szCs w:val="24"/>
                <w:lang w:val="en-GB"/>
              </w:rPr>
              <w:t>conferences and symposia; and career development courses, not only at UPF, but also through</w:t>
            </w:r>
            <w:r>
              <w:rPr>
                <w:sz w:val="24"/>
                <w:szCs w:val="24"/>
                <w:lang w:val="en-GB"/>
              </w:rPr>
              <w:t xml:space="preserve"> </w:t>
            </w:r>
            <w:r w:rsidR="00F67EA7" w:rsidRPr="00F67EA7">
              <w:rPr>
                <w:sz w:val="24"/>
                <w:szCs w:val="24"/>
                <w:lang w:val="en-GB"/>
              </w:rPr>
              <w:t>the PRBB Intervals Programme</w:t>
            </w:r>
            <w:r>
              <w:rPr>
                <w:sz w:val="24"/>
                <w:szCs w:val="24"/>
                <w:lang w:val="en-GB"/>
              </w:rPr>
              <w:t xml:space="preserve">, </w:t>
            </w:r>
            <w:r w:rsidRPr="000D672F">
              <w:rPr>
                <w:sz w:val="24"/>
                <w:szCs w:val="24"/>
                <w:lang w:val="en-GB"/>
              </w:rPr>
              <w:t>an interdisciplinary education programme for professionals working</w:t>
            </w:r>
            <w:r>
              <w:rPr>
                <w:sz w:val="24"/>
                <w:szCs w:val="24"/>
                <w:lang w:val="en-GB"/>
              </w:rPr>
              <w:t xml:space="preserve"> in the PRBB</w:t>
            </w:r>
            <w:r w:rsidR="00F67EA7" w:rsidRPr="00F67EA7">
              <w:rPr>
                <w:sz w:val="24"/>
                <w:szCs w:val="24"/>
                <w:lang w:val="en-GB"/>
              </w:rPr>
              <w:t>.</w:t>
            </w:r>
          </w:p>
          <w:p w:rsidR="00F67EA7" w:rsidRDefault="00F67EA7" w:rsidP="000D672F">
            <w:pPr>
              <w:spacing w:after="0" w:line="240" w:lineRule="auto"/>
              <w:jc w:val="both"/>
              <w:rPr>
                <w:sz w:val="24"/>
                <w:szCs w:val="24"/>
                <w:lang w:val="en-GB"/>
              </w:rPr>
            </w:pPr>
            <w:r w:rsidRPr="00F67EA7">
              <w:rPr>
                <w:sz w:val="24"/>
                <w:szCs w:val="24"/>
                <w:lang w:val="en-GB"/>
              </w:rPr>
              <w:t xml:space="preserve">Fellowship will be funded by the Spanish National Sub-Programme for Training </w:t>
            </w:r>
            <w:r w:rsidR="000D672F">
              <w:rPr>
                <w:sz w:val="24"/>
                <w:szCs w:val="24"/>
                <w:lang w:val="en-GB"/>
              </w:rPr>
              <w:t>during</w:t>
            </w:r>
            <w:r w:rsidRPr="00F67EA7">
              <w:rPr>
                <w:sz w:val="24"/>
                <w:szCs w:val="24"/>
                <w:lang w:val="en-GB"/>
              </w:rPr>
              <w:t xml:space="preserve"> 4 years, and </w:t>
            </w:r>
            <w:r w:rsidR="000D672F">
              <w:rPr>
                <w:sz w:val="24"/>
                <w:szCs w:val="24"/>
                <w:lang w:val="en-GB"/>
              </w:rPr>
              <w:t>the successful candidate</w:t>
            </w:r>
            <w:r w:rsidRPr="00F67EA7">
              <w:rPr>
                <w:sz w:val="24"/>
                <w:szCs w:val="24"/>
                <w:lang w:val="en-GB"/>
              </w:rPr>
              <w:t xml:space="preserve"> will</w:t>
            </w:r>
            <w:r w:rsidR="000D672F">
              <w:rPr>
                <w:sz w:val="24"/>
                <w:szCs w:val="24"/>
                <w:lang w:val="en-GB"/>
              </w:rPr>
              <w:t xml:space="preserve"> </w:t>
            </w:r>
            <w:r w:rsidRPr="00F67EA7">
              <w:rPr>
                <w:sz w:val="24"/>
                <w:szCs w:val="24"/>
                <w:lang w:val="en-GB"/>
              </w:rPr>
              <w:t>be registered in the Spanish Social Security System, which provides health and occupational</w:t>
            </w:r>
            <w:r w:rsidR="000D672F">
              <w:rPr>
                <w:sz w:val="24"/>
                <w:szCs w:val="24"/>
                <w:lang w:val="en-GB"/>
              </w:rPr>
              <w:t xml:space="preserve"> </w:t>
            </w:r>
            <w:r w:rsidRPr="00F67EA7">
              <w:rPr>
                <w:sz w:val="24"/>
                <w:szCs w:val="24"/>
                <w:lang w:val="en-GB"/>
              </w:rPr>
              <w:t>insurance coverage. Academic costs (except fees) are also covered.</w:t>
            </w:r>
          </w:p>
          <w:p w:rsidR="008837BF" w:rsidRPr="000D672F" w:rsidRDefault="008837BF" w:rsidP="000D672F">
            <w:pPr>
              <w:spacing w:after="0" w:line="240" w:lineRule="auto"/>
              <w:jc w:val="both"/>
              <w:rPr>
                <w:sz w:val="24"/>
                <w:szCs w:val="24"/>
                <w:lang w:val="en-GB"/>
              </w:rPr>
            </w:pPr>
          </w:p>
        </w:tc>
      </w:tr>
      <w:tr w:rsidR="003003ED" w:rsidRPr="00B366E9" w:rsidTr="003A60A8">
        <w:tc>
          <w:tcPr>
            <w:tcW w:w="9464" w:type="dxa"/>
          </w:tcPr>
          <w:p w:rsidR="00543669" w:rsidRPr="00992386" w:rsidRDefault="00543669" w:rsidP="00992386">
            <w:pPr>
              <w:spacing w:after="0" w:line="240" w:lineRule="auto"/>
              <w:rPr>
                <w:b/>
                <w:sz w:val="24"/>
                <w:lang w:val="en-GB"/>
              </w:rPr>
            </w:pPr>
          </w:p>
          <w:p w:rsidR="003003ED" w:rsidRDefault="003003ED" w:rsidP="000D672F">
            <w:pPr>
              <w:spacing w:after="0" w:line="240" w:lineRule="auto"/>
              <w:jc w:val="both"/>
              <w:rPr>
                <w:b/>
                <w:sz w:val="24"/>
                <w:lang w:val="en-GB"/>
              </w:rPr>
            </w:pPr>
            <w:r w:rsidRPr="00992386">
              <w:rPr>
                <w:b/>
                <w:sz w:val="24"/>
                <w:lang w:val="en-GB"/>
              </w:rPr>
              <w:t>Information on the application process</w:t>
            </w:r>
            <w:r w:rsidR="000D672F">
              <w:rPr>
                <w:b/>
                <w:sz w:val="24"/>
                <w:lang w:val="en-GB"/>
              </w:rPr>
              <w:t>:</w:t>
            </w:r>
            <w:r w:rsidR="00CC1FE5">
              <w:rPr>
                <w:b/>
                <w:sz w:val="24"/>
                <w:lang w:val="en-GB"/>
              </w:rPr>
              <w:t xml:space="preserve"> </w:t>
            </w:r>
            <w:r w:rsidR="00CC1FE5" w:rsidRPr="00CC1FE5">
              <w:rPr>
                <w:sz w:val="24"/>
                <w:lang w:val="en-GB"/>
              </w:rPr>
              <w:t>please,</w:t>
            </w:r>
            <w:r w:rsidR="000D672F">
              <w:rPr>
                <w:b/>
                <w:sz w:val="24"/>
                <w:lang w:val="en-GB"/>
              </w:rPr>
              <w:t xml:space="preserve"> </w:t>
            </w:r>
            <w:r w:rsidR="000D672F" w:rsidRPr="000D672F">
              <w:rPr>
                <w:sz w:val="24"/>
                <w:lang w:val="en-GB"/>
              </w:rPr>
              <w:t>follow instructions</w:t>
            </w:r>
            <w:r w:rsidRPr="000D672F">
              <w:rPr>
                <w:sz w:val="24"/>
                <w:lang w:val="en-GB"/>
              </w:rPr>
              <w:t xml:space="preserve"> </w:t>
            </w:r>
            <w:r w:rsidR="000D672F" w:rsidRPr="000D672F">
              <w:rPr>
                <w:sz w:val="24"/>
                <w:lang w:val="en-GB"/>
              </w:rPr>
              <w:t xml:space="preserve">at </w:t>
            </w:r>
            <w:hyperlink r:id="rId8" w:history="1">
              <w:r w:rsidR="000D672F" w:rsidRPr="000D672F">
                <w:rPr>
                  <w:rStyle w:val="Hipervnculo"/>
                  <w:sz w:val="24"/>
                  <w:lang w:val="en-GB"/>
                </w:rPr>
                <w:t>http://www.ciencia.gob.es/portal/site/MICINN/menuitem.d20caeda35a0c5dc7c68b11001432ea0/?vgnextoid=bfe8865dd69b2610VgnVCM1000001d04140aRCRD</w:t>
              </w:r>
            </w:hyperlink>
            <w:r w:rsidR="00CC1FE5">
              <w:rPr>
                <w:rStyle w:val="Hipervnculo"/>
                <w:sz w:val="24"/>
                <w:lang w:val="en-GB"/>
              </w:rPr>
              <w:t>.</w:t>
            </w:r>
          </w:p>
          <w:p w:rsidR="003003ED" w:rsidRPr="00CC1FE5" w:rsidRDefault="00CC1FE5" w:rsidP="00992386">
            <w:pPr>
              <w:spacing w:after="0" w:line="240" w:lineRule="auto"/>
              <w:rPr>
                <w:sz w:val="24"/>
                <w:lang w:val="en-GB"/>
              </w:rPr>
            </w:pPr>
            <w:r w:rsidRPr="0091731C">
              <w:rPr>
                <w:b/>
                <w:color w:val="0000FF"/>
                <w:sz w:val="24"/>
                <w:lang w:val="en-GB"/>
              </w:rPr>
              <w:t>Call is expect</w:t>
            </w:r>
            <w:r w:rsidR="0091731C" w:rsidRPr="0091731C">
              <w:rPr>
                <w:b/>
                <w:color w:val="0000FF"/>
                <w:sz w:val="24"/>
                <w:lang w:val="en-GB"/>
              </w:rPr>
              <w:t>ed</w:t>
            </w:r>
            <w:r w:rsidRPr="0091731C">
              <w:rPr>
                <w:b/>
                <w:color w:val="0000FF"/>
                <w:sz w:val="24"/>
                <w:lang w:val="en-GB"/>
              </w:rPr>
              <w:t xml:space="preserve"> to open by September 2019</w:t>
            </w:r>
          </w:p>
          <w:p w:rsidR="00CC1FE5" w:rsidRDefault="00CC1FE5" w:rsidP="00992386">
            <w:pPr>
              <w:spacing w:after="0" w:line="240" w:lineRule="auto"/>
              <w:rPr>
                <w:b/>
                <w:sz w:val="24"/>
                <w:lang w:val="en-GB"/>
              </w:rPr>
            </w:pPr>
          </w:p>
          <w:p w:rsidR="003003ED" w:rsidRPr="00992386" w:rsidRDefault="003003ED" w:rsidP="00992386">
            <w:pPr>
              <w:spacing w:after="0" w:line="240" w:lineRule="auto"/>
              <w:rPr>
                <w:b/>
                <w:sz w:val="24"/>
                <w:lang w:val="en-GB"/>
              </w:rPr>
            </w:pPr>
            <w:r w:rsidRPr="00992386">
              <w:rPr>
                <w:b/>
                <w:sz w:val="24"/>
                <w:lang w:val="en-GB"/>
              </w:rPr>
              <w:t>Deadline to submit applications</w:t>
            </w:r>
            <w:r w:rsidR="00C61BB2">
              <w:rPr>
                <w:b/>
                <w:sz w:val="24"/>
                <w:lang w:val="en-GB"/>
              </w:rPr>
              <w:t xml:space="preserve">:  </w:t>
            </w:r>
            <w:r w:rsidR="006A3BF0" w:rsidRPr="00D5138B">
              <w:rPr>
                <w:b/>
                <w:color w:val="0000FF"/>
                <w:sz w:val="24"/>
                <w:lang w:val="en-GB"/>
              </w:rPr>
              <w:t>0</w:t>
            </w:r>
            <w:r w:rsidR="00D5138B">
              <w:rPr>
                <w:b/>
                <w:color w:val="0000FF"/>
                <w:sz w:val="24"/>
                <w:lang w:val="en-GB"/>
              </w:rPr>
              <w:t>2</w:t>
            </w:r>
            <w:r w:rsidR="006A3BF0" w:rsidRPr="00D5138B">
              <w:rPr>
                <w:b/>
                <w:color w:val="0000FF"/>
                <w:sz w:val="24"/>
                <w:lang w:val="en-GB"/>
              </w:rPr>
              <w:t>/September/2019</w:t>
            </w:r>
          </w:p>
          <w:p w:rsidR="003003ED" w:rsidRPr="00992386" w:rsidRDefault="003003ED" w:rsidP="00992386">
            <w:pPr>
              <w:spacing w:after="0" w:line="240" w:lineRule="auto"/>
              <w:rPr>
                <w:b/>
                <w:sz w:val="24"/>
                <w:lang w:val="en-GB"/>
              </w:rPr>
            </w:pPr>
          </w:p>
          <w:p w:rsidR="00327E72" w:rsidRDefault="003003ED" w:rsidP="00992386">
            <w:pPr>
              <w:spacing w:after="0" w:line="240" w:lineRule="auto"/>
              <w:rPr>
                <w:b/>
                <w:sz w:val="24"/>
                <w:lang w:val="en-GB"/>
              </w:rPr>
            </w:pPr>
            <w:r w:rsidRPr="00992386">
              <w:rPr>
                <w:b/>
                <w:sz w:val="24"/>
                <w:lang w:val="en-GB"/>
              </w:rPr>
              <w:t>Contact</w:t>
            </w:r>
            <w:r w:rsidR="00327E72">
              <w:rPr>
                <w:b/>
                <w:sz w:val="24"/>
                <w:lang w:val="en-GB"/>
              </w:rPr>
              <w:t>:</w:t>
            </w:r>
          </w:p>
          <w:p w:rsidR="00C61BB2" w:rsidRPr="00327E72" w:rsidRDefault="00327E72" w:rsidP="00D5138B">
            <w:pPr>
              <w:spacing w:after="0" w:line="240" w:lineRule="auto"/>
              <w:jc w:val="both"/>
              <w:rPr>
                <w:sz w:val="24"/>
                <w:lang w:val="en-GB"/>
              </w:rPr>
            </w:pPr>
            <w:r w:rsidRPr="00327E72">
              <w:rPr>
                <w:sz w:val="24"/>
                <w:lang w:val="en-GB"/>
              </w:rPr>
              <w:t xml:space="preserve">Applicants should submit an application containing: motivation letter, CV and contact details for two referees to </w:t>
            </w:r>
            <w:r w:rsidR="006A3BF0" w:rsidRPr="00D5138B">
              <w:rPr>
                <w:b/>
                <w:color w:val="0000FF"/>
                <w:sz w:val="24"/>
                <w:lang w:val="en-GB"/>
              </w:rPr>
              <w:t>jmanuel.fernandez</w:t>
            </w:r>
            <w:r w:rsidR="00C61BB2" w:rsidRPr="00D5138B">
              <w:rPr>
                <w:b/>
                <w:color w:val="0000FF"/>
                <w:sz w:val="24"/>
                <w:lang w:val="en-GB"/>
              </w:rPr>
              <w:t>@upf.edu</w:t>
            </w:r>
          </w:p>
          <w:p w:rsidR="00543669" w:rsidRPr="00992386" w:rsidRDefault="00543669" w:rsidP="00992386">
            <w:pPr>
              <w:spacing w:after="0" w:line="240" w:lineRule="auto"/>
              <w:rPr>
                <w:b/>
                <w:sz w:val="24"/>
                <w:lang w:val="en-GB"/>
              </w:rPr>
            </w:pPr>
          </w:p>
        </w:tc>
      </w:tr>
    </w:tbl>
    <w:p w:rsidR="00B17B6B" w:rsidRPr="00B17B6B" w:rsidRDefault="00B17B6B" w:rsidP="003003ED">
      <w:pPr>
        <w:rPr>
          <w:lang w:val="en-US"/>
        </w:rPr>
      </w:pPr>
    </w:p>
    <w:sectPr w:rsidR="00B17B6B" w:rsidRPr="00B17B6B" w:rsidSect="003A60A8">
      <w:headerReference w:type="default" r:id="rId9"/>
      <w:pgSz w:w="11906" w:h="16838"/>
      <w:pgMar w:top="151" w:right="707" w:bottom="1417" w:left="1134"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E4" w:rsidRDefault="006642E4" w:rsidP="00323862">
      <w:pPr>
        <w:spacing w:after="0" w:line="240" w:lineRule="auto"/>
      </w:pPr>
      <w:r>
        <w:separator/>
      </w:r>
    </w:p>
  </w:endnote>
  <w:endnote w:type="continuationSeparator" w:id="0">
    <w:p w:rsidR="006642E4" w:rsidRDefault="006642E4" w:rsidP="0032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E4" w:rsidRDefault="006642E4" w:rsidP="00323862">
      <w:pPr>
        <w:spacing w:after="0" w:line="240" w:lineRule="auto"/>
      </w:pPr>
      <w:r>
        <w:separator/>
      </w:r>
    </w:p>
  </w:footnote>
  <w:footnote w:type="continuationSeparator" w:id="0">
    <w:p w:rsidR="006642E4" w:rsidRDefault="006642E4" w:rsidP="00323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A8" w:rsidRDefault="001D679B" w:rsidP="003A60A8">
    <w:pPr>
      <w:pStyle w:val="Piedepgina"/>
    </w:pPr>
    <w:r>
      <w:rPr>
        <w:noProof/>
        <w:lang w:eastAsia="es-ES"/>
      </w:rPr>
      <w:drawing>
        <wp:inline distT="0" distB="0" distL="0" distR="0">
          <wp:extent cx="2847975" cy="781050"/>
          <wp:effectExtent l="19050" t="0" r="9525" b="0"/>
          <wp:docPr id="1" name="Imatg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logo.bmp"/>
                  <pic:cNvPicPr>
                    <a:picLocks noChangeAspect="1" noChangeArrowheads="1"/>
                  </pic:cNvPicPr>
                </pic:nvPicPr>
                <pic:blipFill>
                  <a:blip r:embed="rId1"/>
                  <a:srcRect/>
                  <a:stretch>
                    <a:fillRect/>
                  </a:stretch>
                </pic:blipFill>
                <pic:spPr bwMode="auto">
                  <a:xfrm>
                    <a:off x="0" y="0"/>
                    <a:ext cx="2847975" cy="781050"/>
                  </a:xfrm>
                  <a:prstGeom prst="rect">
                    <a:avLst/>
                  </a:prstGeom>
                  <a:noFill/>
                  <a:ln w="9525">
                    <a:noFill/>
                    <a:miter lim="800000"/>
                    <a:headEnd/>
                    <a:tailEnd/>
                  </a:ln>
                </pic:spPr>
              </pic:pic>
            </a:graphicData>
          </a:graphic>
        </wp:inline>
      </w:drawing>
    </w:r>
    <w:r w:rsidR="008B25C9">
      <w:rPr>
        <w:noProof/>
        <w:lang w:eastAsia="es-ES"/>
      </w:rPr>
      <w:t xml:space="preserve">        </w:t>
    </w:r>
    <w:r>
      <w:rPr>
        <w:noProof/>
        <w:lang w:eastAsia="es-ES"/>
      </w:rPr>
      <w:drawing>
        <wp:inline distT="0" distB="0" distL="0" distR="0">
          <wp:extent cx="2857500" cy="895350"/>
          <wp:effectExtent l="19050" t="0" r="0" b="0"/>
          <wp:docPr id="2" name="Imagen 2" descr="web_logo-feder-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_logo-feder-ministerio"/>
                  <pic:cNvPicPr>
                    <a:picLocks noChangeAspect="1" noChangeArrowheads="1"/>
                  </pic:cNvPicPr>
                </pic:nvPicPr>
                <pic:blipFill>
                  <a:blip r:embed="rId2"/>
                  <a:srcRect/>
                  <a:stretch>
                    <a:fillRect/>
                  </a:stretch>
                </pic:blipFill>
                <pic:spPr bwMode="auto">
                  <a:xfrm>
                    <a:off x="0" y="0"/>
                    <a:ext cx="2857500" cy="895350"/>
                  </a:xfrm>
                  <a:prstGeom prst="rect">
                    <a:avLst/>
                  </a:prstGeom>
                  <a:noFill/>
                  <a:ln w="9525">
                    <a:noFill/>
                    <a:miter lim="800000"/>
                    <a:headEnd/>
                    <a:tailEnd/>
                  </a:ln>
                </pic:spPr>
              </pic:pic>
            </a:graphicData>
          </a:graphic>
        </wp:inline>
      </w:drawing>
    </w:r>
    <w:r w:rsidR="008B25C9">
      <w:rPr>
        <w:noProof/>
        <w:lang w:eastAsia="es-ES"/>
      </w:rPr>
      <w:t xml:space="preserve">          </w:t>
    </w:r>
    <w:r w:rsidR="003003ED">
      <w:rPr>
        <w:noProof/>
        <w:lang w:eastAsia="es-ES"/>
      </w:rPr>
      <w:t xml:space="preserve">        </w:t>
    </w:r>
    <w:r w:rsidR="008B25C9">
      <w:rPr>
        <w:noProof/>
        <w:lang w:eastAsia="es-ES"/>
      </w:rPr>
      <w:t xml:space="preserve">     </w:t>
    </w:r>
  </w:p>
  <w:p w:rsidR="006A34A9" w:rsidRDefault="008B25C9" w:rsidP="003A60A8">
    <w:pPr>
      <w:pStyle w:val="Encabezado"/>
    </w:pPr>
    <w:r>
      <w:rPr>
        <w:noProof/>
        <w:lang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2AD"/>
    <w:multiLevelType w:val="hybridMultilevel"/>
    <w:tmpl w:val="21D2B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A94C01"/>
    <w:multiLevelType w:val="hybridMultilevel"/>
    <w:tmpl w:val="8FBEE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9D6708"/>
    <w:multiLevelType w:val="hybridMultilevel"/>
    <w:tmpl w:val="65747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ED1F1F"/>
    <w:multiLevelType w:val="multilevel"/>
    <w:tmpl w:val="9E42C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8B"/>
    <w:rsid w:val="00061198"/>
    <w:rsid w:val="00061CFB"/>
    <w:rsid w:val="000D672F"/>
    <w:rsid w:val="000F5D59"/>
    <w:rsid w:val="001470E0"/>
    <w:rsid w:val="001D679B"/>
    <w:rsid w:val="001F0CF3"/>
    <w:rsid w:val="0024050D"/>
    <w:rsid w:val="0027126F"/>
    <w:rsid w:val="002C4690"/>
    <w:rsid w:val="003003ED"/>
    <w:rsid w:val="00323862"/>
    <w:rsid w:val="00327E72"/>
    <w:rsid w:val="00341D8B"/>
    <w:rsid w:val="003A60A8"/>
    <w:rsid w:val="00481CA0"/>
    <w:rsid w:val="00487205"/>
    <w:rsid w:val="004D45B8"/>
    <w:rsid w:val="00510CB9"/>
    <w:rsid w:val="00543669"/>
    <w:rsid w:val="00552578"/>
    <w:rsid w:val="006025D8"/>
    <w:rsid w:val="006051FB"/>
    <w:rsid w:val="00651DA5"/>
    <w:rsid w:val="006642E4"/>
    <w:rsid w:val="006A34A9"/>
    <w:rsid w:val="006A3BF0"/>
    <w:rsid w:val="00731497"/>
    <w:rsid w:val="00734F9B"/>
    <w:rsid w:val="00753B5F"/>
    <w:rsid w:val="007720DC"/>
    <w:rsid w:val="007C355E"/>
    <w:rsid w:val="007E288B"/>
    <w:rsid w:val="00813F03"/>
    <w:rsid w:val="008837BF"/>
    <w:rsid w:val="00894A8D"/>
    <w:rsid w:val="008B25C9"/>
    <w:rsid w:val="008F30C5"/>
    <w:rsid w:val="00903759"/>
    <w:rsid w:val="0091731C"/>
    <w:rsid w:val="00957093"/>
    <w:rsid w:val="0097181A"/>
    <w:rsid w:val="00992386"/>
    <w:rsid w:val="00993422"/>
    <w:rsid w:val="00A1603B"/>
    <w:rsid w:val="00A435FD"/>
    <w:rsid w:val="00A9384D"/>
    <w:rsid w:val="00AC6B51"/>
    <w:rsid w:val="00B041AF"/>
    <w:rsid w:val="00B17B6B"/>
    <w:rsid w:val="00B366E9"/>
    <w:rsid w:val="00B85024"/>
    <w:rsid w:val="00C61BB2"/>
    <w:rsid w:val="00CC1FE5"/>
    <w:rsid w:val="00D34EE1"/>
    <w:rsid w:val="00D5138B"/>
    <w:rsid w:val="00E27405"/>
    <w:rsid w:val="00E40417"/>
    <w:rsid w:val="00E6395E"/>
    <w:rsid w:val="00E81C12"/>
    <w:rsid w:val="00EB5532"/>
    <w:rsid w:val="00F67EA7"/>
    <w:rsid w:val="00FB4F1E"/>
    <w:rsid w:val="00FD2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8B"/>
    <w:pPr>
      <w:spacing w:after="200" w:line="276" w:lineRule="auto"/>
    </w:pPr>
    <w:rPr>
      <w:sz w:val="22"/>
      <w:szCs w:val="22"/>
      <w:lang w:eastAsia="en-US"/>
    </w:rPr>
  </w:style>
  <w:style w:type="paragraph" w:styleId="Ttulo1">
    <w:name w:val="heading 1"/>
    <w:basedOn w:val="Normal"/>
    <w:link w:val="Ttulo1Car"/>
    <w:uiPriority w:val="9"/>
    <w:qFormat/>
    <w:rsid w:val="0097181A"/>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38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862"/>
  </w:style>
  <w:style w:type="paragraph" w:styleId="Piedepgina">
    <w:name w:val="footer"/>
    <w:basedOn w:val="Normal"/>
    <w:link w:val="PiedepginaCar"/>
    <w:uiPriority w:val="99"/>
    <w:semiHidden/>
    <w:unhideWhenUsed/>
    <w:rsid w:val="003238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23862"/>
  </w:style>
  <w:style w:type="paragraph" w:styleId="Textodeglobo">
    <w:name w:val="Balloon Text"/>
    <w:basedOn w:val="Normal"/>
    <w:link w:val="TextodegloboCar"/>
    <w:uiPriority w:val="99"/>
    <w:semiHidden/>
    <w:unhideWhenUsed/>
    <w:rsid w:val="00323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862"/>
    <w:rPr>
      <w:rFonts w:ascii="Tahoma" w:hAnsi="Tahoma" w:cs="Tahoma"/>
      <w:sz w:val="16"/>
      <w:szCs w:val="16"/>
    </w:rPr>
  </w:style>
  <w:style w:type="paragraph" w:styleId="Prrafodelista">
    <w:name w:val="List Paragraph"/>
    <w:basedOn w:val="Normal"/>
    <w:uiPriority w:val="34"/>
    <w:qFormat/>
    <w:rsid w:val="00A9384D"/>
    <w:pPr>
      <w:ind w:left="720"/>
      <w:contextualSpacing/>
    </w:pPr>
  </w:style>
  <w:style w:type="character" w:customStyle="1" w:styleId="Ttulo1Car">
    <w:name w:val="Título 1 Car"/>
    <w:basedOn w:val="Fuentedeprrafopredeter"/>
    <w:link w:val="Ttulo1"/>
    <w:uiPriority w:val="9"/>
    <w:rsid w:val="0097181A"/>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0D67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8B"/>
    <w:pPr>
      <w:spacing w:after="200" w:line="276" w:lineRule="auto"/>
    </w:pPr>
    <w:rPr>
      <w:sz w:val="22"/>
      <w:szCs w:val="22"/>
      <w:lang w:eastAsia="en-US"/>
    </w:rPr>
  </w:style>
  <w:style w:type="paragraph" w:styleId="Ttulo1">
    <w:name w:val="heading 1"/>
    <w:basedOn w:val="Normal"/>
    <w:link w:val="Ttulo1Car"/>
    <w:uiPriority w:val="9"/>
    <w:qFormat/>
    <w:rsid w:val="0097181A"/>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38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862"/>
  </w:style>
  <w:style w:type="paragraph" w:styleId="Piedepgina">
    <w:name w:val="footer"/>
    <w:basedOn w:val="Normal"/>
    <w:link w:val="PiedepginaCar"/>
    <w:uiPriority w:val="99"/>
    <w:semiHidden/>
    <w:unhideWhenUsed/>
    <w:rsid w:val="003238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23862"/>
  </w:style>
  <w:style w:type="paragraph" w:styleId="Textodeglobo">
    <w:name w:val="Balloon Text"/>
    <w:basedOn w:val="Normal"/>
    <w:link w:val="TextodegloboCar"/>
    <w:uiPriority w:val="99"/>
    <w:semiHidden/>
    <w:unhideWhenUsed/>
    <w:rsid w:val="00323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862"/>
    <w:rPr>
      <w:rFonts w:ascii="Tahoma" w:hAnsi="Tahoma" w:cs="Tahoma"/>
      <w:sz w:val="16"/>
      <w:szCs w:val="16"/>
    </w:rPr>
  </w:style>
  <w:style w:type="paragraph" w:styleId="Prrafodelista">
    <w:name w:val="List Paragraph"/>
    <w:basedOn w:val="Normal"/>
    <w:uiPriority w:val="34"/>
    <w:qFormat/>
    <w:rsid w:val="00A9384D"/>
    <w:pPr>
      <w:ind w:left="720"/>
      <w:contextualSpacing/>
    </w:pPr>
  </w:style>
  <w:style w:type="character" w:customStyle="1" w:styleId="Ttulo1Car">
    <w:name w:val="Título 1 Car"/>
    <w:basedOn w:val="Fuentedeprrafopredeter"/>
    <w:link w:val="Ttulo1"/>
    <w:uiPriority w:val="9"/>
    <w:rsid w:val="0097181A"/>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0D67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encia.gob.es/portal/site/MICINN/menuitem.d20caeda35a0c5dc7c68b11001432ea0/?vgnextoid=bfe8865dd69b2610VgnVCM1000001d04140aRC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4036</Characters>
  <Application>Microsoft Office Word</Application>
  <DocSecurity>0</DocSecurity>
  <Lines>33</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UPF</cp:lastModifiedBy>
  <cp:revision>2</cp:revision>
  <dcterms:created xsi:type="dcterms:W3CDTF">2019-07-17T11:57:00Z</dcterms:created>
  <dcterms:modified xsi:type="dcterms:W3CDTF">2019-07-17T11:57:00Z</dcterms:modified>
</cp:coreProperties>
</file>